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6F286" w14:textId="573EAA09" w:rsidR="00861E1D" w:rsidRDefault="00861E1D" w:rsidP="00861E1D">
      <w:pPr>
        <w:ind w:left="1440" w:firstLine="720"/>
      </w:pPr>
      <w:r>
        <w:rPr>
          <w:noProof/>
        </w:rPr>
        <w:drawing>
          <wp:inline distT="0" distB="0" distL="0" distR="0" wp14:anchorId="12C75ECE" wp14:editId="3F818904">
            <wp:extent cx="3332169" cy="981075"/>
            <wp:effectExtent l="0" t="0" r="1905"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12242" cy="1034093"/>
                    </a:xfrm>
                    <a:prstGeom prst="rect">
                      <a:avLst/>
                    </a:prstGeom>
                    <a:noFill/>
                    <a:ln>
                      <a:noFill/>
                    </a:ln>
                  </pic:spPr>
                </pic:pic>
              </a:graphicData>
            </a:graphic>
          </wp:inline>
        </w:drawing>
      </w:r>
    </w:p>
    <w:p w14:paraId="1A0E0E70" w14:textId="77777777" w:rsidR="00E57F22" w:rsidRDefault="00E57F22" w:rsidP="00861E1D">
      <w:pPr>
        <w:ind w:left="1440" w:firstLine="720"/>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861E1D" w:rsidRPr="00861E1D" w14:paraId="4F7B937D" w14:textId="77777777" w:rsidTr="00861E1D">
        <w:tc>
          <w:tcPr>
            <w:tcW w:w="0" w:type="auto"/>
            <w:shd w:val="clear" w:color="auto" w:fill="FFFFFF"/>
            <w:tcMar>
              <w:top w:w="180" w:type="dxa"/>
              <w:left w:w="360" w:type="dxa"/>
              <w:bottom w:w="180" w:type="dxa"/>
              <w:right w:w="360" w:type="dxa"/>
            </w:tcMar>
            <w:hideMark/>
          </w:tcPr>
          <w:p w14:paraId="6C6DE874" w14:textId="77777777" w:rsidR="00861E1D" w:rsidRPr="00861E1D" w:rsidRDefault="00861E1D" w:rsidP="00861E1D">
            <w:pPr>
              <w:spacing w:after="0" w:line="240" w:lineRule="auto"/>
              <w:jc w:val="center"/>
              <w:outlineLvl w:val="0"/>
              <w:rPr>
                <w:rFonts w:ascii="Helvetica" w:eastAsia="Times New Roman" w:hAnsi="Helvetica" w:cs="Helvetica"/>
                <w:b/>
                <w:bCs/>
                <w:color w:val="000000"/>
                <w:kern w:val="36"/>
                <w:sz w:val="47"/>
                <w:szCs w:val="47"/>
              </w:rPr>
            </w:pPr>
            <w:r w:rsidRPr="00861E1D">
              <w:rPr>
                <w:rFonts w:ascii="Merriweather" w:eastAsia="Times New Roman" w:hAnsi="Merriweather" w:cs="Helvetica"/>
                <w:b/>
                <w:bCs/>
                <w:color w:val="000000"/>
                <w:kern w:val="36"/>
                <w:sz w:val="33"/>
                <w:szCs w:val="33"/>
              </w:rPr>
              <w:t xml:space="preserve">2023 Important Deadlines and Reminders </w:t>
            </w:r>
          </w:p>
        </w:tc>
      </w:tr>
      <w:tr w:rsidR="00861E1D" w:rsidRPr="00861E1D" w14:paraId="7879DB0E" w14:textId="77777777" w:rsidTr="00861E1D">
        <w:tc>
          <w:tcPr>
            <w:tcW w:w="0" w:type="auto"/>
            <w:shd w:val="clear" w:color="auto" w:fill="FFFFFF"/>
            <w:tcMar>
              <w:top w:w="180" w:type="dxa"/>
              <w:left w:w="0" w:type="dxa"/>
              <w:bottom w:w="180" w:type="dxa"/>
              <w:right w:w="0" w:type="dxa"/>
            </w:tcMar>
            <w:hideMark/>
          </w:tcPr>
          <w:p w14:paraId="52D60B3C" w14:textId="77777777" w:rsidR="00861E1D" w:rsidRPr="00861E1D" w:rsidRDefault="00861E1D" w:rsidP="00861E1D">
            <w:pPr>
              <w:spacing w:after="0" w:line="240" w:lineRule="auto"/>
              <w:jc w:val="center"/>
              <w:rPr>
                <w:rFonts w:ascii="Times New Roman" w:eastAsia="Times New Roman" w:hAnsi="Times New Roman" w:cs="Times New Roman"/>
                <w:color w:val="000000"/>
                <w:sz w:val="27"/>
                <w:szCs w:val="27"/>
              </w:rPr>
            </w:pPr>
            <w:r w:rsidRPr="00861E1D">
              <w:rPr>
                <w:rFonts w:ascii="Times New Roman" w:eastAsia="Times New Roman" w:hAnsi="Times New Roman" w:cs="Times New Roman"/>
                <w:noProof/>
                <w:color w:val="000000"/>
                <w:sz w:val="27"/>
                <w:szCs w:val="27"/>
              </w:rPr>
              <w:drawing>
                <wp:inline distT="0" distB="0" distL="0" distR="0" wp14:anchorId="75D59541" wp14:editId="1DCBD17B">
                  <wp:extent cx="2266950" cy="200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950" cy="2000250"/>
                          </a:xfrm>
                          <a:prstGeom prst="rect">
                            <a:avLst/>
                          </a:prstGeom>
                          <a:noFill/>
                          <a:ln>
                            <a:noFill/>
                          </a:ln>
                        </pic:spPr>
                      </pic:pic>
                    </a:graphicData>
                  </a:graphic>
                </wp:inline>
              </w:drawing>
            </w:r>
          </w:p>
        </w:tc>
      </w:tr>
    </w:tbl>
    <w:p w14:paraId="14D7C818" w14:textId="0040E867" w:rsidR="00861E1D" w:rsidRDefault="00861E1D" w:rsidP="00E57F22">
      <w:pPr>
        <w:spacing w:after="0"/>
        <w:rPr>
          <w:b/>
          <w:sz w:val="20"/>
          <w:szCs w:val="20"/>
        </w:rPr>
      </w:pPr>
    </w:p>
    <w:p w14:paraId="552067E5" w14:textId="77777777" w:rsidR="00E57F22" w:rsidRPr="00E57F22" w:rsidRDefault="00E57F22" w:rsidP="00E57F22">
      <w:pPr>
        <w:spacing w:after="0"/>
        <w:rPr>
          <w:b/>
          <w:sz w:val="20"/>
          <w:szCs w:val="20"/>
        </w:rPr>
      </w:pPr>
    </w:p>
    <w:p w14:paraId="1F031586" w14:textId="545D6615" w:rsidR="00EF7F8B" w:rsidRPr="00E57F22" w:rsidRDefault="00861E1D" w:rsidP="00E57F22">
      <w:pPr>
        <w:spacing w:after="0" w:line="360" w:lineRule="auto"/>
        <w:outlineLvl w:val="0"/>
        <w:rPr>
          <w:rFonts w:ascii="Merriweather" w:eastAsia="Times New Roman" w:hAnsi="Merriweather" w:cs="Helvetica"/>
          <w:b/>
          <w:bCs/>
          <w:color w:val="000000"/>
          <w:kern w:val="36"/>
          <w:sz w:val="20"/>
          <w:szCs w:val="20"/>
        </w:rPr>
      </w:pPr>
      <w:r w:rsidRPr="00E57F22">
        <w:rPr>
          <w:rFonts w:ascii="Merriweather" w:eastAsia="Times New Roman" w:hAnsi="Merriweather" w:cs="Helvetica"/>
          <w:b/>
          <w:bCs/>
          <w:color w:val="000000"/>
          <w:kern w:val="36"/>
          <w:sz w:val="20"/>
          <w:szCs w:val="20"/>
        </w:rPr>
        <w:t>Accounting, Bookkeeping, Taxes, Payroll, W-2 and 1099 Reporting</w:t>
      </w:r>
    </w:p>
    <w:p w14:paraId="5ADB1B9C" w14:textId="77777777" w:rsidR="00861E1D" w:rsidRPr="00EF7F8B" w:rsidRDefault="00861E1D" w:rsidP="00E57F22">
      <w:pPr>
        <w:pStyle w:val="NormalWeb"/>
        <w:shd w:val="clear" w:color="auto" w:fill="FFFFFF"/>
        <w:spacing w:before="0" w:beforeAutospacing="0" w:after="0" w:afterAutospacing="0" w:line="360" w:lineRule="auto"/>
        <w:rPr>
          <w:rFonts w:ascii="Merriweather" w:eastAsiaTheme="minorHAnsi" w:hAnsi="Merriweather" w:cstheme="minorBidi"/>
          <w:sz w:val="18"/>
          <w:szCs w:val="18"/>
        </w:rPr>
      </w:pPr>
      <w:r w:rsidRPr="00EF7F8B">
        <w:rPr>
          <w:rFonts w:ascii="Merriweather" w:eastAsiaTheme="minorHAnsi" w:hAnsi="Merriweather" w:cstheme="minorBidi"/>
          <w:sz w:val="18"/>
          <w:szCs w:val="18"/>
        </w:rPr>
        <w:t>2023 is rapidly coming to a close, which means it is time to complete 2023 financial statements and other tasks.  Businesses are reminded that year-end payrolls, bonus payments, salary deferrals for retirement plans and other compensation related matters must be completed before December 31.</w:t>
      </w:r>
    </w:p>
    <w:p w14:paraId="22BF1221" w14:textId="77777777" w:rsidR="00861E1D" w:rsidRPr="00EF7F8B" w:rsidRDefault="00861E1D" w:rsidP="00E57F22">
      <w:pPr>
        <w:pStyle w:val="NormalWeb"/>
        <w:shd w:val="clear" w:color="auto" w:fill="FFFFFF"/>
        <w:spacing w:before="0" w:beforeAutospacing="0" w:after="0" w:afterAutospacing="0" w:line="360" w:lineRule="auto"/>
        <w:rPr>
          <w:rFonts w:ascii="Merriweather" w:eastAsiaTheme="minorHAnsi" w:hAnsi="Merriweather" w:cstheme="minorBidi"/>
          <w:sz w:val="18"/>
          <w:szCs w:val="18"/>
        </w:rPr>
      </w:pPr>
    </w:p>
    <w:p w14:paraId="17274964" w14:textId="77777777" w:rsidR="00861E1D" w:rsidRPr="00EF7F8B" w:rsidRDefault="00861E1D" w:rsidP="00E57F22">
      <w:pPr>
        <w:pStyle w:val="NormalWeb"/>
        <w:shd w:val="clear" w:color="auto" w:fill="FFFFFF"/>
        <w:spacing w:before="0" w:beforeAutospacing="0" w:after="0" w:afterAutospacing="0" w:line="360" w:lineRule="auto"/>
        <w:rPr>
          <w:rFonts w:ascii="Merriweather" w:eastAsiaTheme="minorHAnsi" w:hAnsi="Merriweather" w:cstheme="minorBidi"/>
          <w:sz w:val="18"/>
          <w:szCs w:val="18"/>
        </w:rPr>
      </w:pPr>
      <w:r w:rsidRPr="00EF7F8B">
        <w:rPr>
          <w:rFonts w:ascii="Merriweather" w:eastAsiaTheme="minorHAnsi" w:hAnsi="Merriweather" w:cstheme="minorBidi"/>
          <w:sz w:val="18"/>
          <w:szCs w:val="18"/>
        </w:rPr>
        <w:t>The IRS is implementing new rules for reporting payments from cash transfer apps, online marketplaces, settlement organizations, stored value cards and other sources.  Please see our firm’s article and email regarding the new Form 1099-K.</w:t>
      </w:r>
    </w:p>
    <w:p w14:paraId="59374D28" w14:textId="77777777" w:rsidR="00861E1D" w:rsidRPr="00EF7F8B" w:rsidRDefault="00861E1D" w:rsidP="00E57F22">
      <w:pPr>
        <w:pStyle w:val="NormalWeb"/>
        <w:shd w:val="clear" w:color="auto" w:fill="FFFFFF"/>
        <w:spacing w:before="0" w:beforeAutospacing="0" w:after="0" w:afterAutospacing="0" w:line="360" w:lineRule="auto"/>
        <w:rPr>
          <w:rFonts w:ascii="Merriweather" w:eastAsiaTheme="minorHAnsi" w:hAnsi="Merriweather" w:cstheme="minorBidi"/>
          <w:sz w:val="18"/>
          <w:szCs w:val="18"/>
        </w:rPr>
      </w:pPr>
    </w:p>
    <w:p w14:paraId="3997CA7A" w14:textId="77777777" w:rsidR="00861E1D" w:rsidRPr="00EF7F8B" w:rsidRDefault="00861E1D" w:rsidP="00E57F22">
      <w:pPr>
        <w:pStyle w:val="last-child"/>
        <w:shd w:val="clear" w:color="auto" w:fill="FFFFFF"/>
        <w:spacing w:before="0" w:beforeAutospacing="0" w:after="0" w:afterAutospacing="0" w:line="360" w:lineRule="auto"/>
        <w:rPr>
          <w:rFonts w:ascii="Merriweather" w:hAnsi="Merriweather" w:cs="Helvetica"/>
          <w:color w:val="000000"/>
          <w:sz w:val="18"/>
          <w:szCs w:val="18"/>
        </w:rPr>
      </w:pPr>
      <w:r w:rsidRPr="00EF7F8B">
        <w:rPr>
          <w:rFonts w:ascii="Merriweather" w:eastAsiaTheme="minorHAnsi" w:hAnsi="Merriweather" w:cstheme="minorBidi"/>
          <w:sz w:val="18"/>
          <w:szCs w:val="18"/>
        </w:rPr>
        <w:t>Form W-2 and Form 1099 reporting deadlines are also approaching, and we are here to help!  Below is a summary of the key</w:t>
      </w:r>
      <w:r w:rsidRPr="00EF7F8B">
        <w:rPr>
          <w:rFonts w:ascii="Merriweather" w:hAnsi="Merriweather" w:cs="Helvetica"/>
          <w:color w:val="000000"/>
          <w:sz w:val="18"/>
          <w:szCs w:val="18"/>
        </w:rPr>
        <w:t xml:space="preserve"> deadlines as well as best practice reminders to help make sure you meet these requirements. </w:t>
      </w:r>
    </w:p>
    <w:p w14:paraId="404A891A" w14:textId="77777777" w:rsidR="00861E1D" w:rsidRDefault="00861E1D" w:rsidP="00EB459D">
      <w:pPr>
        <w:spacing w:after="0"/>
        <w:jc w:val="center"/>
        <w:rPr>
          <w:b/>
          <w:sz w:val="28"/>
          <w:szCs w:val="28"/>
        </w:rPr>
      </w:pPr>
    </w:p>
    <w:p w14:paraId="1D9B7AE8" w14:textId="77777777" w:rsidR="00E57F22" w:rsidRDefault="00E57F22" w:rsidP="00B91358">
      <w:pPr>
        <w:rPr>
          <w:b/>
          <w:bCs/>
          <w:u w:val="single"/>
        </w:rPr>
      </w:pPr>
    </w:p>
    <w:p w14:paraId="7377B3B7" w14:textId="284C9922" w:rsidR="00B91358" w:rsidRDefault="00475B80" w:rsidP="00B91358">
      <w:pPr>
        <w:rPr>
          <w:b/>
          <w:bCs/>
        </w:rPr>
      </w:pPr>
      <w:r>
        <w:rPr>
          <w:b/>
          <w:bCs/>
          <w:u w:val="single"/>
        </w:rPr>
        <w:t xml:space="preserve">Key </w:t>
      </w:r>
      <w:r w:rsidR="00EE6B37" w:rsidRPr="00EB459D">
        <w:rPr>
          <w:b/>
          <w:bCs/>
          <w:u w:val="single"/>
        </w:rPr>
        <w:t>Due Dates</w:t>
      </w:r>
    </w:p>
    <w:p w14:paraId="342AA076" w14:textId="4AF3B3CA" w:rsidR="00EE6B37" w:rsidRDefault="00EE6B37" w:rsidP="00B91358">
      <w:pPr>
        <w:rPr>
          <w:b/>
          <w:bCs/>
          <w:i/>
          <w:iCs/>
        </w:rPr>
      </w:pPr>
      <w:r w:rsidRPr="00EB459D">
        <w:rPr>
          <w:b/>
          <w:bCs/>
          <w:i/>
          <w:iCs/>
        </w:rPr>
        <w:t>Tax Reporting Forms</w:t>
      </w:r>
      <w:r w:rsidR="009D4E31">
        <w:rPr>
          <w:b/>
          <w:bCs/>
          <w:i/>
          <w:iCs/>
        </w:rPr>
        <w:t xml:space="preserve"> (For Calendar Year-End Taxpayers)</w:t>
      </w:r>
    </w:p>
    <w:tbl>
      <w:tblPr>
        <w:tblStyle w:val="TableGrid"/>
        <w:tblW w:w="0" w:type="auto"/>
        <w:tblLook w:val="04A0" w:firstRow="1" w:lastRow="0" w:firstColumn="1" w:lastColumn="0" w:noHBand="0" w:noVBand="1"/>
      </w:tblPr>
      <w:tblGrid>
        <w:gridCol w:w="3116"/>
        <w:gridCol w:w="3117"/>
        <w:gridCol w:w="3117"/>
      </w:tblGrid>
      <w:tr w:rsidR="00217D89" w14:paraId="75837417" w14:textId="77777777" w:rsidTr="00217D89">
        <w:tc>
          <w:tcPr>
            <w:tcW w:w="3116" w:type="dxa"/>
          </w:tcPr>
          <w:p w14:paraId="107A79CF" w14:textId="7D0E877B" w:rsidR="00217D89" w:rsidRPr="00EB459D" w:rsidRDefault="00823AFD" w:rsidP="00B91358">
            <w:pPr>
              <w:rPr>
                <w:b/>
                <w:bCs/>
              </w:rPr>
            </w:pPr>
            <w:r w:rsidRPr="00EB459D">
              <w:rPr>
                <w:b/>
                <w:bCs/>
              </w:rPr>
              <w:lastRenderedPageBreak/>
              <w:t>Form</w:t>
            </w:r>
          </w:p>
        </w:tc>
        <w:tc>
          <w:tcPr>
            <w:tcW w:w="3117" w:type="dxa"/>
          </w:tcPr>
          <w:p w14:paraId="459FC2A8" w14:textId="3CE685E6" w:rsidR="00217D89" w:rsidRPr="00EB459D" w:rsidRDefault="00823AFD" w:rsidP="00B91358">
            <w:pPr>
              <w:rPr>
                <w:b/>
                <w:bCs/>
              </w:rPr>
            </w:pPr>
            <w:r w:rsidRPr="00EB459D">
              <w:rPr>
                <w:b/>
                <w:bCs/>
              </w:rPr>
              <w:t>Due Date</w:t>
            </w:r>
          </w:p>
        </w:tc>
        <w:tc>
          <w:tcPr>
            <w:tcW w:w="3117" w:type="dxa"/>
          </w:tcPr>
          <w:p w14:paraId="1CFB7350" w14:textId="717FCE96" w:rsidR="00217D89" w:rsidRPr="00EB459D" w:rsidRDefault="00521A91" w:rsidP="00B91358">
            <w:pPr>
              <w:rPr>
                <w:b/>
                <w:bCs/>
              </w:rPr>
            </w:pPr>
            <w:r>
              <w:rPr>
                <w:b/>
                <w:bCs/>
              </w:rPr>
              <w:t>Extended Due Date</w:t>
            </w:r>
          </w:p>
        </w:tc>
      </w:tr>
      <w:tr w:rsidR="00217D89" w14:paraId="6B1AB963" w14:textId="77777777" w:rsidTr="00217D89">
        <w:tc>
          <w:tcPr>
            <w:tcW w:w="3116" w:type="dxa"/>
          </w:tcPr>
          <w:p w14:paraId="4F0980C1" w14:textId="7A3F459A" w:rsidR="00217D89" w:rsidRDefault="00823AFD" w:rsidP="00B91358">
            <w:r>
              <w:t>Annual</w:t>
            </w:r>
            <w:r w:rsidR="00091D07">
              <w:t xml:space="preserve"> Payroll</w:t>
            </w:r>
            <w:r>
              <w:t xml:space="preserve"> Forms: W-2 and 940</w:t>
            </w:r>
            <w:r w:rsidR="00AD51EF">
              <w:t>,</w:t>
            </w:r>
            <w:r>
              <w:t xml:space="preserve"> and 4</w:t>
            </w:r>
            <w:r w:rsidRPr="00EB459D">
              <w:rPr>
                <w:vertAlign w:val="superscript"/>
              </w:rPr>
              <w:t>th</w:t>
            </w:r>
            <w:r>
              <w:t xml:space="preserve"> Quarter Form 941</w:t>
            </w:r>
          </w:p>
        </w:tc>
        <w:tc>
          <w:tcPr>
            <w:tcW w:w="3117" w:type="dxa"/>
          </w:tcPr>
          <w:p w14:paraId="3A9D4341" w14:textId="647D783D" w:rsidR="00217D89" w:rsidRPr="00AD51EF" w:rsidRDefault="00452EB7" w:rsidP="00B91358">
            <w:r w:rsidRPr="00452EB7">
              <w:rPr>
                <w:highlight w:val="yellow"/>
              </w:rPr>
              <w:t>Wednesd</w:t>
            </w:r>
            <w:r w:rsidR="00514554" w:rsidRPr="00452EB7">
              <w:rPr>
                <w:highlight w:val="yellow"/>
              </w:rPr>
              <w:t>ay</w:t>
            </w:r>
            <w:r w:rsidR="00823AFD" w:rsidRPr="00452EB7">
              <w:rPr>
                <w:highlight w:val="yellow"/>
              </w:rPr>
              <w:t>, January 31, 202</w:t>
            </w:r>
            <w:r w:rsidRPr="00452EB7">
              <w:rPr>
                <w:highlight w:val="yellow"/>
              </w:rPr>
              <w:t>4</w:t>
            </w:r>
          </w:p>
        </w:tc>
        <w:tc>
          <w:tcPr>
            <w:tcW w:w="3117" w:type="dxa"/>
          </w:tcPr>
          <w:p w14:paraId="72142C3C" w14:textId="52E88ADD" w:rsidR="00217D89" w:rsidRDefault="00EE6B37" w:rsidP="00B91358">
            <w:r w:rsidRPr="00AD51EF">
              <w:rPr>
                <w:b/>
                <w:bCs/>
              </w:rPr>
              <w:t>W-2</w:t>
            </w:r>
            <w:r w:rsidRPr="00AD51EF">
              <w:t xml:space="preserve">:  </w:t>
            </w:r>
            <w:r w:rsidRPr="009369AB">
              <w:rPr>
                <w:b/>
                <w:bCs/>
              </w:rPr>
              <w:t>Automatic extension not available</w:t>
            </w:r>
            <w:r w:rsidRPr="00AD51EF">
              <w:t xml:space="preserve"> – can make written request for 30-day extension</w:t>
            </w:r>
          </w:p>
          <w:p w14:paraId="3E24201E" w14:textId="77777777" w:rsidR="00AD51EF" w:rsidRPr="00AD51EF" w:rsidRDefault="00AD51EF" w:rsidP="00B91358"/>
          <w:p w14:paraId="3E29F7F8" w14:textId="03852920" w:rsidR="00EE6B37" w:rsidRPr="00AD51EF" w:rsidRDefault="00EE6B37" w:rsidP="00B91358">
            <w:r w:rsidRPr="00AD51EF">
              <w:rPr>
                <w:b/>
                <w:bCs/>
              </w:rPr>
              <w:t>940/941</w:t>
            </w:r>
            <w:r w:rsidRPr="00AD51EF">
              <w:t>: If taxes are paid in full, additional 10 days are allowed to file</w:t>
            </w:r>
          </w:p>
        </w:tc>
      </w:tr>
      <w:tr w:rsidR="00217D89" w14:paraId="26E0F776" w14:textId="77777777" w:rsidTr="00217D89">
        <w:tc>
          <w:tcPr>
            <w:tcW w:w="3116" w:type="dxa"/>
          </w:tcPr>
          <w:p w14:paraId="7B46F210" w14:textId="5139489A" w:rsidR="00217D89" w:rsidRDefault="00823AFD" w:rsidP="00B91358">
            <w:r>
              <w:t xml:space="preserve">Annual Forms 1099-NEC </w:t>
            </w:r>
            <w:r w:rsidR="00091D07">
              <w:t>(Non-Employee Compensation)</w:t>
            </w:r>
            <w:r w:rsidR="00AD51EF">
              <w:t>,</w:t>
            </w:r>
            <w:r>
              <w:t xml:space="preserve"> 1099-MISC</w:t>
            </w:r>
            <w:r w:rsidR="007C4AB2">
              <w:t>, 1099-K</w:t>
            </w:r>
            <w:r w:rsidR="00AD51EF">
              <w:t xml:space="preserve"> and other Forms 1099</w:t>
            </w:r>
          </w:p>
        </w:tc>
        <w:tc>
          <w:tcPr>
            <w:tcW w:w="3117" w:type="dxa"/>
          </w:tcPr>
          <w:p w14:paraId="6BC14D9D" w14:textId="2632158F" w:rsidR="00217D89" w:rsidRPr="00EB459D" w:rsidRDefault="00452EB7" w:rsidP="00B91358">
            <w:pPr>
              <w:rPr>
                <w:highlight w:val="yellow"/>
              </w:rPr>
            </w:pPr>
            <w:r>
              <w:rPr>
                <w:highlight w:val="yellow"/>
              </w:rPr>
              <w:t>Wednesday</w:t>
            </w:r>
            <w:r w:rsidR="00823AFD" w:rsidRPr="00EB459D">
              <w:rPr>
                <w:highlight w:val="yellow"/>
              </w:rPr>
              <w:t>, January 31, 202</w:t>
            </w:r>
            <w:r>
              <w:rPr>
                <w:highlight w:val="yellow"/>
              </w:rPr>
              <w:t>4</w:t>
            </w:r>
          </w:p>
        </w:tc>
        <w:tc>
          <w:tcPr>
            <w:tcW w:w="3117" w:type="dxa"/>
          </w:tcPr>
          <w:p w14:paraId="71CB7F56" w14:textId="111C4F85" w:rsidR="00217D89" w:rsidRPr="00AD51EF" w:rsidRDefault="00EE6B37" w:rsidP="00B91358">
            <w:r w:rsidRPr="009369AB">
              <w:rPr>
                <w:b/>
                <w:bCs/>
              </w:rPr>
              <w:t>Automatic extension not available</w:t>
            </w:r>
            <w:r w:rsidRPr="00AD51EF">
              <w:t xml:space="preserve"> – can make written request for 30-day extension</w:t>
            </w:r>
          </w:p>
        </w:tc>
      </w:tr>
      <w:tr w:rsidR="00217D89" w14:paraId="74867E2B" w14:textId="77777777" w:rsidTr="00217D89">
        <w:tc>
          <w:tcPr>
            <w:tcW w:w="3116" w:type="dxa"/>
          </w:tcPr>
          <w:p w14:paraId="1F822F07" w14:textId="3F510C7A" w:rsidR="00217D89" w:rsidRDefault="00823AFD" w:rsidP="00B91358">
            <w:r>
              <w:t>Form 1065 (Partnership Federal Tax Return)</w:t>
            </w:r>
          </w:p>
        </w:tc>
        <w:tc>
          <w:tcPr>
            <w:tcW w:w="3117" w:type="dxa"/>
          </w:tcPr>
          <w:p w14:paraId="6052EC1E" w14:textId="601A69C6" w:rsidR="00217D89" w:rsidRPr="00EB459D" w:rsidRDefault="007C4AB2" w:rsidP="00B91358">
            <w:pPr>
              <w:rPr>
                <w:highlight w:val="yellow"/>
              </w:rPr>
            </w:pPr>
            <w:r>
              <w:rPr>
                <w:highlight w:val="yellow"/>
              </w:rPr>
              <w:t>Friday</w:t>
            </w:r>
            <w:r w:rsidR="00823AFD" w:rsidRPr="00EB459D">
              <w:rPr>
                <w:highlight w:val="yellow"/>
              </w:rPr>
              <w:t>, March 15, 202</w:t>
            </w:r>
            <w:r>
              <w:rPr>
                <w:highlight w:val="yellow"/>
              </w:rPr>
              <w:t>4</w:t>
            </w:r>
          </w:p>
        </w:tc>
        <w:tc>
          <w:tcPr>
            <w:tcW w:w="3117" w:type="dxa"/>
          </w:tcPr>
          <w:p w14:paraId="68392D29" w14:textId="73081C17" w:rsidR="00217D89" w:rsidRPr="00EB459D" w:rsidRDefault="007C4AB2" w:rsidP="00B91358">
            <w:pPr>
              <w:rPr>
                <w:highlight w:val="yellow"/>
              </w:rPr>
            </w:pPr>
            <w:r>
              <w:rPr>
                <w:highlight w:val="yellow"/>
              </w:rPr>
              <w:t>Monday</w:t>
            </w:r>
            <w:r w:rsidR="009D4E31" w:rsidRPr="00EB459D">
              <w:rPr>
                <w:highlight w:val="yellow"/>
              </w:rPr>
              <w:t xml:space="preserve">, </w:t>
            </w:r>
            <w:r w:rsidR="005E0E54" w:rsidRPr="00EB459D">
              <w:rPr>
                <w:highlight w:val="yellow"/>
              </w:rPr>
              <w:t>September 1</w:t>
            </w:r>
            <w:r>
              <w:rPr>
                <w:highlight w:val="yellow"/>
              </w:rPr>
              <w:t>6</w:t>
            </w:r>
            <w:r w:rsidR="005E0E54" w:rsidRPr="00EB459D">
              <w:rPr>
                <w:highlight w:val="yellow"/>
              </w:rPr>
              <w:t>, 202</w:t>
            </w:r>
            <w:r>
              <w:rPr>
                <w:highlight w:val="yellow"/>
              </w:rPr>
              <w:t>4</w:t>
            </w:r>
            <w:r w:rsidR="00521A91" w:rsidRPr="00EB459D">
              <w:rPr>
                <w:highlight w:val="yellow"/>
              </w:rPr>
              <w:t xml:space="preserve"> </w:t>
            </w:r>
          </w:p>
        </w:tc>
      </w:tr>
      <w:tr w:rsidR="009D4E31" w14:paraId="7B64915D" w14:textId="77777777" w:rsidTr="00217D89">
        <w:tc>
          <w:tcPr>
            <w:tcW w:w="3116" w:type="dxa"/>
          </w:tcPr>
          <w:p w14:paraId="66A3369F" w14:textId="0E931F25" w:rsidR="009D4E31" w:rsidRDefault="009D4E31" w:rsidP="009D4E31">
            <w:r>
              <w:t>Form 1120-S (S-Corporation Federal Tax Return)</w:t>
            </w:r>
          </w:p>
        </w:tc>
        <w:tc>
          <w:tcPr>
            <w:tcW w:w="3117" w:type="dxa"/>
          </w:tcPr>
          <w:p w14:paraId="1E736D78" w14:textId="07809EC4" w:rsidR="009D4E31" w:rsidRPr="00EB459D" w:rsidRDefault="007C4AB2" w:rsidP="009D4E31">
            <w:pPr>
              <w:rPr>
                <w:highlight w:val="yellow"/>
              </w:rPr>
            </w:pPr>
            <w:r>
              <w:rPr>
                <w:highlight w:val="yellow"/>
              </w:rPr>
              <w:t>Friday</w:t>
            </w:r>
            <w:r w:rsidR="009D4E31" w:rsidRPr="00EB459D">
              <w:rPr>
                <w:highlight w:val="yellow"/>
              </w:rPr>
              <w:t>, March 15, 202</w:t>
            </w:r>
            <w:r>
              <w:rPr>
                <w:highlight w:val="yellow"/>
              </w:rPr>
              <w:t>4</w:t>
            </w:r>
          </w:p>
        </w:tc>
        <w:tc>
          <w:tcPr>
            <w:tcW w:w="3117" w:type="dxa"/>
          </w:tcPr>
          <w:p w14:paraId="4D3B6A29" w14:textId="3437EEBE" w:rsidR="009D4E31" w:rsidRPr="00EB459D" w:rsidRDefault="007C4AB2" w:rsidP="009D4E31">
            <w:pPr>
              <w:rPr>
                <w:highlight w:val="yellow"/>
              </w:rPr>
            </w:pPr>
            <w:r>
              <w:rPr>
                <w:highlight w:val="yellow"/>
              </w:rPr>
              <w:t>Monday</w:t>
            </w:r>
            <w:r w:rsidR="009D4E31" w:rsidRPr="00EB459D">
              <w:rPr>
                <w:highlight w:val="yellow"/>
              </w:rPr>
              <w:t>, September 1</w:t>
            </w:r>
            <w:r>
              <w:rPr>
                <w:highlight w:val="yellow"/>
              </w:rPr>
              <w:t>6</w:t>
            </w:r>
            <w:r w:rsidR="009D4E31" w:rsidRPr="00EB459D">
              <w:rPr>
                <w:highlight w:val="yellow"/>
              </w:rPr>
              <w:t>, 202</w:t>
            </w:r>
            <w:r>
              <w:rPr>
                <w:highlight w:val="yellow"/>
              </w:rPr>
              <w:t>4</w:t>
            </w:r>
            <w:r w:rsidR="009D4E31" w:rsidRPr="00EB459D">
              <w:rPr>
                <w:highlight w:val="yellow"/>
              </w:rPr>
              <w:t xml:space="preserve"> </w:t>
            </w:r>
          </w:p>
        </w:tc>
      </w:tr>
      <w:tr w:rsidR="00823AFD" w14:paraId="64B7254B" w14:textId="77777777" w:rsidTr="00217D89">
        <w:tc>
          <w:tcPr>
            <w:tcW w:w="3116" w:type="dxa"/>
          </w:tcPr>
          <w:p w14:paraId="19C95B4C" w14:textId="3BD9D33F" w:rsidR="00823AFD" w:rsidRDefault="00823AFD" w:rsidP="00B91358">
            <w:r>
              <w:t>Form 1120 (C-Corporation Federal Tax Return)</w:t>
            </w:r>
          </w:p>
        </w:tc>
        <w:tc>
          <w:tcPr>
            <w:tcW w:w="3117" w:type="dxa"/>
          </w:tcPr>
          <w:p w14:paraId="5CC035BE" w14:textId="3CC6A1D1" w:rsidR="00823AFD" w:rsidRPr="00EB459D" w:rsidRDefault="00514554" w:rsidP="00B91358">
            <w:pPr>
              <w:rPr>
                <w:highlight w:val="yellow"/>
              </w:rPr>
            </w:pPr>
            <w:r>
              <w:rPr>
                <w:highlight w:val="yellow"/>
              </w:rPr>
              <w:t>Monday</w:t>
            </w:r>
            <w:r w:rsidR="00823AFD" w:rsidRPr="00EB459D">
              <w:rPr>
                <w:highlight w:val="yellow"/>
              </w:rPr>
              <w:t>, April 1</w:t>
            </w:r>
            <w:r w:rsidR="007C4AB2">
              <w:rPr>
                <w:highlight w:val="yellow"/>
              </w:rPr>
              <w:t>5</w:t>
            </w:r>
            <w:r w:rsidR="00823AFD" w:rsidRPr="00EB459D">
              <w:rPr>
                <w:highlight w:val="yellow"/>
              </w:rPr>
              <w:t>, 202</w:t>
            </w:r>
            <w:r w:rsidR="007C4AB2">
              <w:rPr>
                <w:highlight w:val="yellow"/>
              </w:rPr>
              <w:t>4</w:t>
            </w:r>
          </w:p>
        </w:tc>
        <w:tc>
          <w:tcPr>
            <w:tcW w:w="3117" w:type="dxa"/>
          </w:tcPr>
          <w:p w14:paraId="54DAB0A2" w14:textId="20E0FBFC" w:rsidR="00521A91" w:rsidRPr="00EB459D" w:rsidRDefault="00047B23" w:rsidP="00B91358">
            <w:pPr>
              <w:rPr>
                <w:highlight w:val="yellow"/>
              </w:rPr>
            </w:pPr>
            <w:r>
              <w:rPr>
                <w:highlight w:val="yellow"/>
              </w:rPr>
              <w:t>Tuesday</w:t>
            </w:r>
            <w:r w:rsidR="009D4E31" w:rsidRPr="00EB459D">
              <w:rPr>
                <w:highlight w:val="yellow"/>
              </w:rPr>
              <w:t xml:space="preserve">, </w:t>
            </w:r>
            <w:r w:rsidR="005E0E54" w:rsidRPr="00EB459D">
              <w:rPr>
                <w:highlight w:val="yellow"/>
              </w:rPr>
              <w:t>October 1</w:t>
            </w:r>
            <w:r>
              <w:rPr>
                <w:highlight w:val="yellow"/>
              </w:rPr>
              <w:t>5</w:t>
            </w:r>
            <w:r w:rsidR="005E0E54" w:rsidRPr="00EB459D">
              <w:rPr>
                <w:highlight w:val="yellow"/>
              </w:rPr>
              <w:t>, 202</w:t>
            </w:r>
            <w:r>
              <w:rPr>
                <w:highlight w:val="yellow"/>
              </w:rPr>
              <w:t>4</w:t>
            </w:r>
          </w:p>
        </w:tc>
      </w:tr>
      <w:tr w:rsidR="005E0E54" w14:paraId="4CD7F383" w14:textId="77777777" w:rsidTr="00217D89">
        <w:tc>
          <w:tcPr>
            <w:tcW w:w="3116" w:type="dxa"/>
          </w:tcPr>
          <w:p w14:paraId="0950722D" w14:textId="0AF104F4" w:rsidR="005E0E54" w:rsidRDefault="005E0E54" w:rsidP="00B91358">
            <w:r>
              <w:t>Form 1041 (Estate or Trust Federal Tax Return)</w:t>
            </w:r>
          </w:p>
        </w:tc>
        <w:tc>
          <w:tcPr>
            <w:tcW w:w="3117" w:type="dxa"/>
          </w:tcPr>
          <w:p w14:paraId="6E38DF45" w14:textId="5F178847" w:rsidR="005E0E54" w:rsidRPr="00EB459D" w:rsidRDefault="00514554" w:rsidP="00B91358">
            <w:pPr>
              <w:rPr>
                <w:highlight w:val="yellow"/>
              </w:rPr>
            </w:pPr>
            <w:r>
              <w:rPr>
                <w:highlight w:val="yellow"/>
              </w:rPr>
              <w:t>Monday</w:t>
            </w:r>
            <w:r w:rsidRPr="00606BAE">
              <w:rPr>
                <w:highlight w:val="yellow"/>
              </w:rPr>
              <w:t>, April 1</w:t>
            </w:r>
            <w:r w:rsidR="00047B23">
              <w:rPr>
                <w:highlight w:val="yellow"/>
              </w:rPr>
              <w:t>5</w:t>
            </w:r>
            <w:r w:rsidRPr="00606BAE">
              <w:rPr>
                <w:highlight w:val="yellow"/>
              </w:rPr>
              <w:t>, 202</w:t>
            </w:r>
            <w:r w:rsidR="00047B23">
              <w:rPr>
                <w:highlight w:val="yellow"/>
              </w:rPr>
              <w:t>4</w:t>
            </w:r>
          </w:p>
        </w:tc>
        <w:tc>
          <w:tcPr>
            <w:tcW w:w="3117" w:type="dxa"/>
          </w:tcPr>
          <w:p w14:paraId="16DA3961" w14:textId="7B618568" w:rsidR="005E0E54" w:rsidRPr="00EB459D" w:rsidRDefault="00047B23" w:rsidP="00B91358">
            <w:pPr>
              <w:rPr>
                <w:highlight w:val="yellow"/>
              </w:rPr>
            </w:pPr>
            <w:r>
              <w:rPr>
                <w:highlight w:val="yellow"/>
              </w:rPr>
              <w:t>Tuesday</w:t>
            </w:r>
            <w:r w:rsidR="009D4E31" w:rsidRPr="00EB459D">
              <w:rPr>
                <w:highlight w:val="yellow"/>
              </w:rPr>
              <w:t>, October 1</w:t>
            </w:r>
            <w:r>
              <w:rPr>
                <w:highlight w:val="yellow"/>
              </w:rPr>
              <w:t>5</w:t>
            </w:r>
            <w:r w:rsidR="009D4E31" w:rsidRPr="00EB459D">
              <w:rPr>
                <w:highlight w:val="yellow"/>
              </w:rPr>
              <w:t>, 202</w:t>
            </w:r>
            <w:r>
              <w:rPr>
                <w:highlight w:val="yellow"/>
              </w:rPr>
              <w:t>4</w:t>
            </w:r>
          </w:p>
        </w:tc>
      </w:tr>
      <w:tr w:rsidR="00EE6B37" w14:paraId="6D35AE4D" w14:textId="77777777" w:rsidTr="00217D89">
        <w:tc>
          <w:tcPr>
            <w:tcW w:w="3116" w:type="dxa"/>
          </w:tcPr>
          <w:p w14:paraId="142C0F79" w14:textId="71CA9C43" w:rsidR="00EE6B37" w:rsidRDefault="00EE6B37" w:rsidP="00B91358">
            <w:r>
              <w:t>Schedule C to Form 1040 (Self-employed, sole proprietors</w:t>
            </w:r>
            <w:r w:rsidR="00EA3075">
              <w:t>, Single Member LLCs</w:t>
            </w:r>
            <w:r>
              <w:t>)</w:t>
            </w:r>
          </w:p>
        </w:tc>
        <w:tc>
          <w:tcPr>
            <w:tcW w:w="3117" w:type="dxa"/>
          </w:tcPr>
          <w:p w14:paraId="795A4907" w14:textId="4D5B18F2" w:rsidR="00EE6B37" w:rsidRPr="00EB459D" w:rsidRDefault="00514554" w:rsidP="00B91358">
            <w:pPr>
              <w:rPr>
                <w:highlight w:val="yellow"/>
              </w:rPr>
            </w:pPr>
            <w:r>
              <w:rPr>
                <w:highlight w:val="yellow"/>
              </w:rPr>
              <w:t>Monday</w:t>
            </w:r>
            <w:r w:rsidRPr="00606BAE">
              <w:rPr>
                <w:highlight w:val="yellow"/>
              </w:rPr>
              <w:t>, April 1</w:t>
            </w:r>
            <w:r w:rsidR="00047B23">
              <w:rPr>
                <w:highlight w:val="yellow"/>
              </w:rPr>
              <w:t>5</w:t>
            </w:r>
            <w:r w:rsidRPr="00606BAE">
              <w:rPr>
                <w:highlight w:val="yellow"/>
              </w:rPr>
              <w:t>, 202</w:t>
            </w:r>
            <w:r>
              <w:rPr>
                <w:highlight w:val="yellow"/>
              </w:rPr>
              <w:t>3</w:t>
            </w:r>
          </w:p>
        </w:tc>
        <w:tc>
          <w:tcPr>
            <w:tcW w:w="3117" w:type="dxa"/>
          </w:tcPr>
          <w:p w14:paraId="17B09AF7" w14:textId="245E968F" w:rsidR="00EE6B37" w:rsidRPr="00EB459D" w:rsidRDefault="00047B23" w:rsidP="00B91358">
            <w:pPr>
              <w:rPr>
                <w:highlight w:val="yellow"/>
              </w:rPr>
            </w:pPr>
            <w:r>
              <w:rPr>
                <w:highlight w:val="yellow"/>
              </w:rPr>
              <w:t>Tuesday</w:t>
            </w:r>
            <w:r w:rsidR="009D4E31" w:rsidRPr="00EB459D">
              <w:rPr>
                <w:highlight w:val="yellow"/>
              </w:rPr>
              <w:t>, October 1</w:t>
            </w:r>
            <w:r>
              <w:rPr>
                <w:highlight w:val="yellow"/>
              </w:rPr>
              <w:t>5</w:t>
            </w:r>
            <w:r w:rsidR="009D4E31" w:rsidRPr="00EB459D">
              <w:rPr>
                <w:highlight w:val="yellow"/>
              </w:rPr>
              <w:t>, 202</w:t>
            </w:r>
            <w:r w:rsidR="00514554">
              <w:rPr>
                <w:highlight w:val="yellow"/>
              </w:rPr>
              <w:t>3</w:t>
            </w:r>
          </w:p>
        </w:tc>
      </w:tr>
    </w:tbl>
    <w:p w14:paraId="5F3E0E65" w14:textId="77777777" w:rsidR="00987D21" w:rsidRDefault="00987D21" w:rsidP="00B91358">
      <w:pPr>
        <w:rPr>
          <w:b/>
          <w:bCs/>
          <w:i/>
          <w:iCs/>
        </w:rPr>
      </w:pPr>
    </w:p>
    <w:p w14:paraId="1EC964A1" w14:textId="57B89522" w:rsidR="00EE6B37" w:rsidRDefault="00EE6B37" w:rsidP="00B91358">
      <w:r>
        <w:rPr>
          <w:b/>
          <w:bCs/>
          <w:i/>
          <w:iCs/>
        </w:rPr>
        <w:t>202</w:t>
      </w:r>
      <w:r w:rsidR="00047B23">
        <w:rPr>
          <w:b/>
          <w:bCs/>
          <w:i/>
          <w:iCs/>
        </w:rPr>
        <w:t>4</w:t>
      </w:r>
      <w:r>
        <w:rPr>
          <w:b/>
          <w:bCs/>
          <w:i/>
          <w:iCs/>
        </w:rPr>
        <w:t xml:space="preserve"> </w:t>
      </w:r>
      <w:r w:rsidRPr="00EB459D">
        <w:rPr>
          <w:b/>
          <w:bCs/>
          <w:i/>
          <w:iCs/>
        </w:rPr>
        <w:t>Estimated Tax Payments</w:t>
      </w:r>
    </w:p>
    <w:tbl>
      <w:tblPr>
        <w:tblStyle w:val="TableGrid"/>
        <w:tblW w:w="0" w:type="auto"/>
        <w:tblLook w:val="04A0" w:firstRow="1" w:lastRow="0" w:firstColumn="1" w:lastColumn="0" w:noHBand="0" w:noVBand="1"/>
      </w:tblPr>
      <w:tblGrid>
        <w:gridCol w:w="1795"/>
        <w:gridCol w:w="4140"/>
        <w:gridCol w:w="3415"/>
      </w:tblGrid>
      <w:tr w:rsidR="00EE6B37" w14:paraId="7BCEC47D" w14:textId="77777777" w:rsidTr="00EB459D">
        <w:tc>
          <w:tcPr>
            <w:tcW w:w="1795" w:type="dxa"/>
            <w:vAlign w:val="bottom"/>
          </w:tcPr>
          <w:p w14:paraId="5287E687" w14:textId="76071AE7" w:rsidR="00EE6B37" w:rsidRPr="00EB459D" w:rsidRDefault="00475B80" w:rsidP="00EB459D">
            <w:pPr>
              <w:jc w:val="center"/>
              <w:rPr>
                <w:b/>
                <w:bCs/>
              </w:rPr>
            </w:pPr>
            <w:r>
              <w:rPr>
                <w:b/>
                <w:bCs/>
              </w:rPr>
              <w:t>Payment #</w:t>
            </w:r>
          </w:p>
        </w:tc>
        <w:tc>
          <w:tcPr>
            <w:tcW w:w="4140" w:type="dxa"/>
            <w:vAlign w:val="bottom"/>
          </w:tcPr>
          <w:p w14:paraId="42A3A581" w14:textId="743B9BA4" w:rsidR="00EE6B37" w:rsidRPr="00EB459D" w:rsidRDefault="00EE6B37" w:rsidP="00EB459D">
            <w:pPr>
              <w:jc w:val="center"/>
              <w:rPr>
                <w:b/>
                <w:bCs/>
              </w:rPr>
            </w:pPr>
            <w:r w:rsidRPr="00EB459D">
              <w:rPr>
                <w:b/>
                <w:bCs/>
              </w:rPr>
              <w:t>Business Owners of S-Corps, Partnerships and Self-</w:t>
            </w:r>
            <w:r w:rsidR="009D4E31">
              <w:rPr>
                <w:b/>
                <w:bCs/>
              </w:rPr>
              <w:t>E</w:t>
            </w:r>
            <w:r w:rsidRPr="00EB459D">
              <w:rPr>
                <w:b/>
                <w:bCs/>
              </w:rPr>
              <w:t xml:space="preserve">mployed </w:t>
            </w:r>
            <w:r w:rsidR="009D4E31">
              <w:rPr>
                <w:b/>
                <w:bCs/>
              </w:rPr>
              <w:t>P</w:t>
            </w:r>
            <w:r w:rsidRPr="00EB459D">
              <w:rPr>
                <w:b/>
                <w:bCs/>
              </w:rPr>
              <w:t>ersons</w:t>
            </w:r>
          </w:p>
        </w:tc>
        <w:tc>
          <w:tcPr>
            <w:tcW w:w="3415" w:type="dxa"/>
            <w:vAlign w:val="bottom"/>
          </w:tcPr>
          <w:p w14:paraId="1B112540" w14:textId="19615C65" w:rsidR="00EE6B37" w:rsidRPr="00EB459D" w:rsidRDefault="00475B80" w:rsidP="00EB459D">
            <w:pPr>
              <w:jc w:val="center"/>
              <w:rPr>
                <w:b/>
                <w:bCs/>
              </w:rPr>
            </w:pPr>
            <w:r w:rsidRPr="00EB459D">
              <w:rPr>
                <w:b/>
                <w:bCs/>
              </w:rPr>
              <w:t>C-Corporations</w:t>
            </w:r>
          </w:p>
        </w:tc>
      </w:tr>
      <w:tr w:rsidR="006B4ADC" w14:paraId="1BAC3F9D" w14:textId="77777777" w:rsidTr="00EB459D">
        <w:tc>
          <w:tcPr>
            <w:tcW w:w="1795" w:type="dxa"/>
          </w:tcPr>
          <w:p w14:paraId="4654F11C" w14:textId="7796D31D" w:rsidR="006B4ADC" w:rsidRDefault="006B4ADC" w:rsidP="006B4ADC">
            <w:r>
              <w:t>Payment 1</w:t>
            </w:r>
          </w:p>
        </w:tc>
        <w:tc>
          <w:tcPr>
            <w:tcW w:w="4140" w:type="dxa"/>
          </w:tcPr>
          <w:p w14:paraId="43B2A932" w14:textId="5AC4F654" w:rsidR="006B4ADC" w:rsidRPr="00EB459D" w:rsidRDefault="006B4ADC" w:rsidP="006B4ADC">
            <w:pPr>
              <w:rPr>
                <w:highlight w:val="yellow"/>
              </w:rPr>
            </w:pPr>
            <w:r w:rsidRPr="00EB459D">
              <w:rPr>
                <w:highlight w:val="yellow"/>
              </w:rPr>
              <w:t>April 1</w:t>
            </w:r>
            <w:r w:rsidR="00047B23">
              <w:rPr>
                <w:highlight w:val="yellow"/>
              </w:rPr>
              <w:t>5</w:t>
            </w:r>
            <w:r w:rsidRPr="00EB459D">
              <w:rPr>
                <w:highlight w:val="yellow"/>
              </w:rPr>
              <w:t>, 202</w:t>
            </w:r>
            <w:r w:rsidR="00D5361F">
              <w:rPr>
                <w:highlight w:val="yellow"/>
              </w:rPr>
              <w:t>4</w:t>
            </w:r>
          </w:p>
        </w:tc>
        <w:tc>
          <w:tcPr>
            <w:tcW w:w="3415" w:type="dxa"/>
          </w:tcPr>
          <w:p w14:paraId="3811BDD4" w14:textId="736BFD05" w:rsidR="006B4ADC" w:rsidRPr="00EB459D" w:rsidRDefault="006B4ADC" w:rsidP="006B4ADC">
            <w:pPr>
              <w:rPr>
                <w:highlight w:val="yellow"/>
              </w:rPr>
            </w:pPr>
            <w:r w:rsidRPr="00606BAE">
              <w:rPr>
                <w:highlight w:val="yellow"/>
              </w:rPr>
              <w:t>April 1</w:t>
            </w:r>
            <w:r w:rsidR="00047B23">
              <w:rPr>
                <w:highlight w:val="yellow"/>
              </w:rPr>
              <w:t>5</w:t>
            </w:r>
            <w:r w:rsidRPr="00606BAE">
              <w:rPr>
                <w:highlight w:val="yellow"/>
              </w:rPr>
              <w:t>, 202</w:t>
            </w:r>
            <w:r w:rsidR="00D5361F">
              <w:rPr>
                <w:highlight w:val="yellow"/>
              </w:rPr>
              <w:t>4</w:t>
            </w:r>
          </w:p>
        </w:tc>
      </w:tr>
      <w:tr w:rsidR="006B4ADC" w14:paraId="20A78AE7" w14:textId="77777777" w:rsidTr="00EB459D">
        <w:tc>
          <w:tcPr>
            <w:tcW w:w="1795" w:type="dxa"/>
          </w:tcPr>
          <w:p w14:paraId="3A113C75" w14:textId="19A86E35" w:rsidR="006B4ADC" w:rsidRDefault="006B4ADC" w:rsidP="006B4ADC">
            <w:r>
              <w:t>Payment 2</w:t>
            </w:r>
          </w:p>
        </w:tc>
        <w:tc>
          <w:tcPr>
            <w:tcW w:w="4140" w:type="dxa"/>
          </w:tcPr>
          <w:p w14:paraId="424926DA" w14:textId="13BFA117" w:rsidR="006B4ADC" w:rsidRPr="00EB459D" w:rsidRDefault="006B4ADC" w:rsidP="006B4ADC">
            <w:pPr>
              <w:rPr>
                <w:highlight w:val="yellow"/>
              </w:rPr>
            </w:pPr>
            <w:r w:rsidRPr="00EB459D">
              <w:rPr>
                <w:highlight w:val="yellow"/>
              </w:rPr>
              <w:t>June 1</w:t>
            </w:r>
            <w:r w:rsidR="00047B23">
              <w:rPr>
                <w:highlight w:val="yellow"/>
              </w:rPr>
              <w:t>7</w:t>
            </w:r>
            <w:r w:rsidRPr="00EB459D">
              <w:rPr>
                <w:highlight w:val="yellow"/>
              </w:rPr>
              <w:t>, 202</w:t>
            </w:r>
            <w:r w:rsidR="00C836FF">
              <w:rPr>
                <w:highlight w:val="yellow"/>
              </w:rPr>
              <w:t>4</w:t>
            </w:r>
          </w:p>
        </w:tc>
        <w:tc>
          <w:tcPr>
            <w:tcW w:w="3415" w:type="dxa"/>
          </w:tcPr>
          <w:p w14:paraId="0B644494" w14:textId="73CB89A8" w:rsidR="006B4ADC" w:rsidRPr="00EB459D" w:rsidRDefault="006B4ADC" w:rsidP="006B4ADC">
            <w:pPr>
              <w:rPr>
                <w:highlight w:val="yellow"/>
              </w:rPr>
            </w:pPr>
            <w:r w:rsidRPr="00EB459D">
              <w:rPr>
                <w:highlight w:val="yellow"/>
              </w:rPr>
              <w:t>June 1</w:t>
            </w:r>
            <w:r w:rsidR="00047B23">
              <w:rPr>
                <w:highlight w:val="yellow"/>
              </w:rPr>
              <w:t>7</w:t>
            </w:r>
            <w:r w:rsidRPr="00EB459D">
              <w:rPr>
                <w:highlight w:val="yellow"/>
              </w:rPr>
              <w:t>, 202</w:t>
            </w:r>
            <w:r w:rsidR="00C836FF">
              <w:rPr>
                <w:highlight w:val="yellow"/>
              </w:rPr>
              <w:t>4</w:t>
            </w:r>
          </w:p>
        </w:tc>
      </w:tr>
      <w:tr w:rsidR="006B4ADC" w14:paraId="3A3CFF65" w14:textId="77777777" w:rsidTr="00EB459D">
        <w:tc>
          <w:tcPr>
            <w:tcW w:w="1795" w:type="dxa"/>
          </w:tcPr>
          <w:p w14:paraId="56888F0B" w14:textId="55CEEA45" w:rsidR="006B4ADC" w:rsidRDefault="006B4ADC" w:rsidP="006B4ADC">
            <w:r>
              <w:t>Payment 3</w:t>
            </w:r>
          </w:p>
        </w:tc>
        <w:tc>
          <w:tcPr>
            <w:tcW w:w="4140" w:type="dxa"/>
          </w:tcPr>
          <w:p w14:paraId="4FE46BA4" w14:textId="0476C8EF" w:rsidR="006B4ADC" w:rsidRPr="00EB459D" w:rsidRDefault="006B4ADC" w:rsidP="006B4ADC">
            <w:pPr>
              <w:rPr>
                <w:highlight w:val="yellow"/>
              </w:rPr>
            </w:pPr>
            <w:r w:rsidRPr="00EB459D">
              <w:rPr>
                <w:highlight w:val="yellow"/>
              </w:rPr>
              <w:t>September 1</w:t>
            </w:r>
            <w:r w:rsidR="00047B23">
              <w:rPr>
                <w:highlight w:val="yellow"/>
              </w:rPr>
              <w:t>6</w:t>
            </w:r>
            <w:r w:rsidRPr="00EB459D">
              <w:rPr>
                <w:highlight w:val="yellow"/>
              </w:rPr>
              <w:t>, 202</w:t>
            </w:r>
            <w:r w:rsidR="00C836FF">
              <w:rPr>
                <w:highlight w:val="yellow"/>
              </w:rPr>
              <w:t>4</w:t>
            </w:r>
          </w:p>
        </w:tc>
        <w:tc>
          <w:tcPr>
            <w:tcW w:w="3415" w:type="dxa"/>
          </w:tcPr>
          <w:p w14:paraId="090259D5" w14:textId="1C99DC5C" w:rsidR="006B4ADC" w:rsidRPr="00EB459D" w:rsidRDefault="006B4ADC" w:rsidP="006B4ADC">
            <w:pPr>
              <w:rPr>
                <w:highlight w:val="yellow"/>
              </w:rPr>
            </w:pPr>
            <w:r w:rsidRPr="00EB459D">
              <w:rPr>
                <w:highlight w:val="yellow"/>
              </w:rPr>
              <w:t>September 1</w:t>
            </w:r>
            <w:r w:rsidR="00047B23">
              <w:rPr>
                <w:highlight w:val="yellow"/>
              </w:rPr>
              <w:t>6</w:t>
            </w:r>
            <w:r w:rsidRPr="00EB459D">
              <w:rPr>
                <w:highlight w:val="yellow"/>
              </w:rPr>
              <w:t>, 202</w:t>
            </w:r>
            <w:r w:rsidR="00C836FF">
              <w:rPr>
                <w:highlight w:val="yellow"/>
              </w:rPr>
              <w:t>4</w:t>
            </w:r>
          </w:p>
        </w:tc>
      </w:tr>
      <w:tr w:rsidR="006B4ADC" w14:paraId="1FD61052" w14:textId="77777777" w:rsidTr="00EB459D">
        <w:tc>
          <w:tcPr>
            <w:tcW w:w="1795" w:type="dxa"/>
          </w:tcPr>
          <w:p w14:paraId="511E9650" w14:textId="65661446" w:rsidR="006B4ADC" w:rsidRDefault="006B4ADC" w:rsidP="006B4ADC">
            <w:r>
              <w:t>Payment 4</w:t>
            </w:r>
          </w:p>
        </w:tc>
        <w:tc>
          <w:tcPr>
            <w:tcW w:w="4140" w:type="dxa"/>
          </w:tcPr>
          <w:p w14:paraId="1D7965FD" w14:textId="24610EEA" w:rsidR="006B4ADC" w:rsidRPr="00EB459D" w:rsidRDefault="006B4ADC" w:rsidP="006B4ADC">
            <w:pPr>
              <w:rPr>
                <w:highlight w:val="yellow"/>
              </w:rPr>
            </w:pPr>
            <w:r w:rsidRPr="00EB459D">
              <w:rPr>
                <w:highlight w:val="yellow"/>
              </w:rPr>
              <w:t>January 1</w:t>
            </w:r>
            <w:r>
              <w:rPr>
                <w:highlight w:val="yellow"/>
              </w:rPr>
              <w:t>5</w:t>
            </w:r>
            <w:r w:rsidRPr="00EB459D">
              <w:rPr>
                <w:highlight w:val="yellow"/>
              </w:rPr>
              <w:t>, 202</w:t>
            </w:r>
            <w:r w:rsidR="00047B23">
              <w:rPr>
                <w:highlight w:val="yellow"/>
              </w:rPr>
              <w:t>5</w:t>
            </w:r>
          </w:p>
        </w:tc>
        <w:tc>
          <w:tcPr>
            <w:tcW w:w="3415" w:type="dxa"/>
          </w:tcPr>
          <w:p w14:paraId="554A561A" w14:textId="21F9D923" w:rsidR="006B4ADC" w:rsidRPr="00EB459D" w:rsidRDefault="006B4ADC" w:rsidP="006B4ADC">
            <w:pPr>
              <w:rPr>
                <w:highlight w:val="yellow"/>
              </w:rPr>
            </w:pPr>
            <w:r w:rsidRPr="00EB459D">
              <w:rPr>
                <w:highlight w:val="yellow"/>
              </w:rPr>
              <w:t>December 1</w:t>
            </w:r>
            <w:r w:rsidR="00047B23">
              <w:rPr>
                <w:highlight w:val="yellow"/>
              </w:rPr>
              <w:t>6</w:t>
            </w:r>
            <w:r w:rsidRPr="00EB459D">
              <w:rPr>
                <w:highlight w:val="yellow"/>
              </w:rPr>
              <w:t>, 202</w:t>
            </w:r>
            <w:r w:rsidR="00047B23">
              <w:rPr>
                <w:highlight w:val="yellow"/>
              </w:rPr>
              <w:t>4</w:t>
            </w:r>
          </w:p>
        </w:tc>
      </w:tr>
    </w:tbl>
    <w:p w14:paraId="425AE346" w14:textId="20D1FAD2" w:rsidR="00986FFF" w:rsidRDefault="00986FFF" w:rsidP="00B91358">
      <w:pPr>
        <w:rPr>
          <w:b/>
          <w:bCs/>
          <w:u w:val="single"/>
        </w:rPr>
      </w:pPr>
    </w:p>
    <w:p w14:paraId="21185D2E" w14:textId="77777777" w:rsidR="00E57F22" w:rsidRDefault="00E57F22" w:rsidP="00E57F22">
      <w:pPr>
        <w:spacing w:line="360" w:lineRule="auto"/>
        <w:rPr>
          <w:rFonts w:ascii="Merriweather" w:hAnsi="Merriweather"/>
          <w:color w:val="000000"/>
          <w:sz w:val="18"/>
          <w:szCs w:val="18"/>
          <w:shd w:val="clear" w:color="auto" w:fill="FFFFFF"/>
        </w:rPr>
      </w:pPr>
      <w:r>
        <w:rPr>
          <w:rFonts w:ascii="Merriweather" w:hAnsi="Merriweather"/>
          <w:color w:val="000000"/>
          <w:sz w:val="18"/>
          <w:szCs w:val="18"/>
          <w:shd w:val="clear" w:color="auto" w:fill="FFFFFF"/>
        </w:rPr>
        <w:t>If you need assistance with estimated tax payment amounts or you are unfamiliar with making quarterly estimated tax payments, contact your tax preparer for more information.</w:t>
      </w:r>
    </w:p>
    <w:p w14:paraId="378AA965" w14:textId="2460653B" w:rsidR="00091D07" w:rsidRDefault="00091D07" w:rsidP="00E57F22">
      <w:pPr>
        <w:spacing w:line="360" w:lineRule="auto"/>
      </w:pPr>
      <w:r>
        <w:rPr>
          <w:b/>
          <w:bCs/>
          <w:u w:val="single"/>
        </w:rPr>
        <w:t>Accounting and Bookkeeping</w:t>
      </w:r>
    </w:p>
    <w:p w14:paraId="1404526C" w14:textId="77777777" w:rsidR="00E57F22" w:rsidRDefault="00E57F22" w:rsidP="00E57F22">
      <w:pPr>
        <w:spacing w:line="360" w:lineRule="auto"/>
        <w:rPr>
          <w:rFonts w:ascii="Merriweather" w:hAnsi="Merriweather" w:cs="Helvetica"/>
          <w:color w:val="000000"/>
          <w:sz w:val="18"/>
          <w:szCs w:val="18"/>
          <w:shd w:val="clear" w:color="auto" w:fill="FFFFFF"/>
        </w:rPr>
      </w:pPr>
      <w:r>
        <w:rPr>
          <w:rFonts w:ascii="Merriweather" w:hAnsi="Merriweather" w:cs="Helvetica"/>
          <w:color w:val="000000"/>
          <w:sz w:val="18"/>
          <w:szCs w:val="18"/>
          <w:shd w:val="clear" w:color="auto" w:fill="FFFFFF"/>
        </w:rPr>
        <w:t xml:space="preserve">Complete and accurate financial statements are the starting point to prepare your W-2’s, 1099’s, and business tax return(s).  If we have not yet discussed assisting you with the preparation of your entity’s financial statements, please contact your tax preparer </w:t>
      </w:r>
      <w:r>
        <w:rPr>
          <w:rStyle w:val="Strong"/>
          <w:rFonts w:ascii="Merriweather" w:hAnsi="Merriweather" w:cs="Helvetica"/>
          <w:color w:val="000000"/>
          <w:sz w:val="18"/>
          <w:szCs w:val="18"/>
          <w:u w:val="single"/>
          <w:shd w:val="clear" w:color="auto" w:fill="FFFFFF"/>
        </w:rPr>
        <w:t>no later than January 12, 2024</w:t>
      </w:r>
      <w:r>
        <w:rPr>
          <w:rFonts w:ascii="Merriweather" w:hAnsi="Merriweather" w:cs="Helvetica"/>
          <w:color w:val="000000"/>
          <w:sz w:val="18"/>
          <w:szCs w:val="18"/>
          <w:shd w:val="clear" w:color="auto" w:fill="FFFFFF"/>
        </w:rPr>
        <w:t>.  We will discuss with you the specific terms of our engagement and the items that are needed to complete your accounting work.</w:t>
      </w:r>
    </w:p>
    <w:p w14:paraId="535688CF" w14:textId="77777777" w:rsidR="00E57F22" w:rsidRDefault="00E57F22" w:rsidP="00E57F22">
      <w:pPr>
        <w:spacing w:line="360" w:lineRule="auto"/>
        <w:rPr>
          <w:rFonts w:ascii="Merriweather" w:hAnsi="Merriweather" w:cs="Helvetica"/>
          <w:color w:val="000000"/>
          <w:sz w:val="18"/>
          <w:szCs w:val="18"/>
          <w:shd w:val="clear" w:color="auto" w:fill="FFFFFF"/>
        </w:rPr>
      </w:pPr>
      <w:r>
        <w:rPr>
          <w:rFonts w:ascii="Merriweather" w:hAnsi="Merriweather" w:cs="Helvetica"/>
          <w:color w:val="000000"/>
          <w:sz w:val="18"/>
          <w:szCs w:val="18"/>
          <w:shd w:val="clear" w:color="auto" w:fill="FFFFFF"/>
        </w:rPr>
        <w:lastRenderedPageBreak/>
        <w:t xml:space="preserve">As a friendly reminder, you can upload documents for your business at any time via our secure access portal - SmartVault.  If you need the invitation to be resent, please contact </w:t>
      </w:r>
      <w:hyperlink r:id="rId7" w:tgtFrame="_blank" w:history="1">
        <w:r>
          <w:rPr>
            <w:rStyle w:val="Hyperlink"/>
            <w:rFonts w:ascii="Merriweather" w:hAnsi="Merriweather" w:cs="Helvetica"/>
            <w:color w:val="000000"/>
            <w:sz w:val="18"/>
            <w:szCs w:val="18"/>
            <w:shd w:val="clear" w:color="auto" w:fill="FFFFFF"/>
          </w:rPr>
          <w:t>Beth</w:t>
        </w:r>
      </w:hyperlink>
      <w:r>
        <w:rPr>
          <w:rFonts w:ascii="Merriweather" w:hAnsi="Merriweather" w:cs="Helvetica"/>
          <w:color w:val="000000"/>
          <w:sz w:val="18"/>
          <w:szCs w:val="18"/>
          <w:shd w:val="clear" w:color="auto" w:fill="FFFFFF"/>
        </w:rPr>
        <w:t xml:space="preserve">. </w:t>
      </w:r>
    </w:p>
    <w:p w14:paraId="5ED4C2BF" w14:textId="77777777" w:rsidR="00E57F22" w:rsidRDefault="00E57F22" w:rsidP="00E57F22">
      <w:pPr>
        <w:pStyle w:val="NormalWeb"/>
        <w:spacing w:before="0" w:beforeAutospacing="0" w:after="0" w:afterAutospacing="0" w:line="360" w:lineRule="auto"/>
        <w:rPr>
          <w:rFonts w:ascii="Helvetica" w:hAnsi="Helvetica" w:cs="Helvetica"/>
          <w:color w:val="000000"/>
        </w:rPr>
      </w:pPr>
      <w:r>
        <w:rPr>
          <w:rStyle w:val="Strong"/>
          <w:rFonts w:ascii="Merriweather" w:hAnsi="Merriweather" w:cs="Helvetica"/>
          <w:color w:val="000000"/>
          <w:sz w:val="18"/>
          <w:szCs w:val="18"/>
          <w:u w:val="single"/>
        </w:rPr>
        <w:t>Form W-2 Reporting</w:t>
      </w:r>
    </w:p>
    <w:p w14:paraId="233FF21B" w14:textId="77777777" w:rsidR="00E57F22" w:rsidRDefault="00E57F22" w:rsidP="00E57F22">
      <w:pPr>
        <w:pStyle w:val="NormalWeb"/>
        <w:spacing w:before="0" w:beforeAutospacing="0" w:after="0" w:afterAutospacing="0" w:line="360" w:lineRule="auto"/>
        <w:rPr>
          <w:rFonts w:ascii="Helvetica" w:hAnsi="Helvetica" w:cs="Helvetica"/>
          <w:color w:val="000000"/>
        </w:rPr>
      </w:pPr>
    </w:p>
    <w:p w14:paraId="6737ABAE" w14:textId="77777777" w:rsidR="00E57F22" w:rsidRDefault="00E57F22" w:rsidP="00E57F22">
      <w:pPr>
        <w:pStyle w:val="NormalWeb"/>
        <w:spacing w:before="0" w:beforeAutospacing="0" w:after="0" w:afterAutospacing="0" w:line="360" w:lineRule="auto"/>
        <w:rPr>
          <w:rFonts w:ascii="Helvetica" w:hAnsi="Helvetica" w:cs="Helvetica"/>
          <w:color w:val="000000"/>
        </w:rPr>
      </w:pPr>
      <w:r>
        <w:rPr>
          <w:rFonts w:ascii="Merriweather" w:hAnsi="Merriweather" w:cs="Helvetica"/>
          <w:color w:val="000000"/>
          <w:sz w:val="18"/>
          <w:szCs w:val="18"/>
        </w:rPr>
        <w:t>Forms W-2 for 2023 are due to employees by</w:t>
      </w:r>
      <w:r>
        <w:rPr>
          <w:rFonts w:ascii="Merriweather" w:hAnsi="Merriweather" w:cs="Helvetica"/>
          <w:color w:val="000000"/>
          <w:sz w:val="18"/>
          <w:szCs w:val="18"/>
          <w:u w:val="single"/>
        </w:rPr>
        <w:t xml:space="preserve"> </w:t>
      </w:r>
      <w:r>
        <w:rPr>
          <w:rStyle w:val="Strong"/>
          <w:rFonts w:ascii="Merriweather" w:hAnsi="Merriweather" w:cs="Helvetica"/>
          <w:color w:val="000000"/>
          <w:sz w:val="18"/>
          <w:szCs w:val="18"/>
          <w:u w:val="single"/>
        </w:rPr>
        <w:t>Wednesday, January 31, 2024</w:t>
      </w:r>
      <w:r>
        <w:rPr>
          <w:rFonts w:ascii="Merriweather" w:hAnsi="Merriweather" w:cs="Helvetica"/>
          <w:color w:val="000000"/>
          <w:sz w:val="18"/>
          <w:szCs w:val="18"/>
        </w:rPr>
        <w:t xml:space="preserve">.  W-2s are required for any employee to whom you made payments (including noncash payments) for services related to your trade or business during 2023, </w:t>
      </w:r>
      <w:r>
        <w:rPr>
          <w:rStyle w:val="Strong"/>
          <w:rFonts w:ascii="Merriweather" w:hAnsi="Merriweather" w:cs="Helvetica"/>
          <w:color w:val="000000"/>
          <w:sz w:val="18"/>
          <w:szCs w:val="18"/>
        </w:rPr>
        <w:t xml:space="preserve">AND </w:t>
      </w:r>
      <w:r>
        <w:rPr>
          <w:rFonts w:ascii="Merriweather" w:hAnsi="Merriweather" w:cs="Helvetica"/>
          <w:color w:val="000000"/>
          <w:sz w:val="18"/>
          <w:szCs w:val="18"/>
        </w:rPr>
        <w:t xml:space="preserve">any person deemed to be a household employee.  The due date for annual and fourth quarter payroll tax return reporting (Forms 940 and 941) is also </w:t>
      </w:r>
      <w:r>
        <w:rPr>
          <w:rStyle w:val="Strong"/>
          <w:rFonts w:ascii="Merriweather" w:hAnsi="Merriweather" w:cs="Helvetica"/>
          <w:color w:val="000000"/>
          <w:sz w:val="18"/>
          <w:szCs w:val="18"/>
          <w:u w:val="single"/>
        </w:rPr>
        <w:t>January 31, 2024</w:t>
      </w:r>
      <w:r>
        <w:rPr>
          <w:rFonts w:ascii="Merriweather" w:hAnsi="Merriweather" w:cs="Helvetica"/>
          <w:color w:val="000000"/>
          <w:sz w:val="18"/>
          <w:szCs w:val="18"/>
        </w:rPr>
        <w:t>.  State and local filing requirements generally follow the federal deadlines.</w:t>
      </w:r>
    </w:p>
    <w:p w14:paraId="5DC2230D" w14:textId="77777777" w:rsidR="00E57F22" w:rsidRDefault="00E57F22" w:rsidP="00E57F22">
      <w:pPr>
        <w:pStyle w:val="NormalWeb"/>
        <w:spacing w:before="0" w:beforeAutospacing="0" w:after="0" w:afterAutospacing="0" w:line="360" w:lineRule="auto"/>
        <w:rPr>
          <w:rFonts w:ascii="Helvetica" w:hAnsi="Helvetica" w:cs="Helvetica"/>
          <w:color w:val="000000"/>
        </w:rPr>
      </w:pPr>
    </w:p>
    <w:p w14:paraId="7BC798B0" w14:textId="77777777" w:rsidR="00E57F22" w:rsidRDefault="00E57F22" w:rsidP="00E57F22">
      <w:pPr>
        <w:pStyle w:val="NormalWeb"/>
        <w:spacing w:before="0" w:beforeAutospacing="0" w:after="0" w:afterAutospacing="0" w:line="360" w:lineRule="auto"/>
        <w:rPr>
          <w:rFonts w:ascii="Helvetica" w:hAnsi="Helvetica" w:cs="Helvetica"/>
          <w:color w:val="000000"/>
        </w:rPr>
      </w:pPr>
      <w:r>
        <w:rPr>
          <w:rFonts w:ascii="Merriweather" w:hAnsi="Merriweather" w:cs="Helvetica"/>
          <w:color w:val="000000"/>
          <w:sz w:val="18"/>
          <w:szCs w:val="18"/>
        </w:rPr>
        <w:t xml:space="preserve">If you use a third-party payroll service, you should coordinate with them to ensure 2023 Forms W-2 (and all corresponding forms) are prepared and submitted in advance of the deadline.  If you use QuickBooks Payroll, instructions to file are provided in your QuickBooks Payroll portal. </w:t>
      </w:r>
    </w:p>
    <w:p w14:paraId="33399884" w14:textId="77777777" w:rsidR="00E57F22" w:rsidRDefault="00E57F22" w:rsidP="00E57F22">
      <w:pPr>
        <w:pStyle w:val="NormalWeb"/>
        <w:spacing w:before="0" w:beforeAutospacing="0" w:after="0" w:afterAutospacing="0" w:line="360" w:lineRule="auto"/>
        <w:rPr>
          <w:rFonts w:ascii="Helvetica" w:hAnsi="Helvetica" w:cs="Helvetica"/>
          <w:color w:val="000000"/>
        </w:rPr>
      </w:pPr>
    </w:p>
    <w:p w14:paraId="439CCE1A" w14:textId="77777777" w:rsidR="00E57F22" w:rsidRDefault="00E57F22" w:rsidP="00E57F22">
      <w:pPr>
        <w:pStyle w:val="NormalWeb"/>
        <w:spacing w:before="0" w:beforeAutospacing="0" w:after="0" w:afterAutospacing="0" w:line="360" w:lineRule="auto"/>
        <w:rPr>
          <w:rFonts w:ascii="Helvetica" w:hAnsi="Helvetica" w:cs="Helvetica"/>
          <w:color w:val="000000"/>
        </w:rPr>
      </w:pPr>
      <w:r>
        <w:rPr>
          <w:rFonts w:ascii="Merriweather" w:hAnsi="Merriweather" w:cs="Helvetica"/>
          <w:color w:val="000000"/>
          <w:sz w:val="18"/>
          <w:szCs w:val="18"/>
        </w:rPr>
        <w:t xml:space="preserve">If we are currently engaged to prepare your payroll, we will reach out to you in early January to confirm we have all the required information.  </w:t>
      </w:r>
      <w:r>
        <w:rPr>
          <w:rStyle w:val="Strong"/>
          <w:rFonts w:ascii="Merriweather" w:hAnsi="Merriweather" w:cs="Helvetica"/>
          <w:i/>
          <w:iCs/>
          <w:color w:val="000000"/>
          <w:sz w:val="18"/>
          <w:szCs w:val="18"/>
        </w:rPr>
        <w:t>Please note that we will need all your payroll and 1099 information no later than January 12, 2024, to ensure we meet the IRS filing deadline.</w:t>
      </w:r>
    </w:p>
    <w:p w14:paraId="719BA697" w14:textId="77777777" w:rsidR="00E57F22" w:rsidRDefault="00E57F22" w:rsidP="00E57F22">
      <w:pPr>
        <w:pStyle w:val="NormalWeb"/>
        <w:spacing w:before="0" w:beforeAutospacing="0" w:after="0" w:afterAutospacing="0" w:line="360" w:lineRule="auto"/>
        <w:rPr>
          <w:rFonts w:ascii="Helvetica" w:hAnsi="Helvetica" w:cs="Helvetica"/>
          <w:color w:val="000000"/>
        </w:rPr>
      </w:pPr>
    </w:p>
    <w:p w14:paraId="7B52E550" w14:textId="77777777" w:rsidR="00E57F22" w:rsidRDefault="00E57F22" w:rsidP="00E57F22">
      <w:pPr>
        <w:pStyle w:val="NormalWeb"/>
        <w:spacing w:before="0" w:beforeAutospacing="0" w:after="0" w:afterAutospacing="0" w:line="360" w:lineRule="auto"/>
        <w:rPr>
          <w:rFonts w:ascii="Helvetica" w:hAnsi="Helvetica" w:cs="Helvetica"/>
          <w:color w:val="000000"/>
        </w:rPr>
      </w:pPr>
      <w:r>
        <w:rPr>
          <w:rFonts w:ascii="Merriweather" w:hAnsi="Merriweather" w:cs="Helvetica"/>
          <w:color w:val="000000"/>
          <w:sz w:val="18"/>
          <w:szCs w:val="18"/>
        </w:rPr>
        <w:t xml:space="preserve">If you need assistance with W-2 reporting, we can help!  Please contact your payroll coordinator </w:t>
      </w:r>
      <w:r>
        <w:rPr>
          <w:rStyle w:val="Strong"/>
          <w:rFonts w:ascii="Merriweather" w:hAnsi="Merriweather" w:cs="Helvetica"/>
          <w:color w:val="000000"/>
          <w:sz w:val="18"/>
          <w:szCs w:val="18"/>
          <w:u w:val="single"/>
        </w:rPr>
        <w:t>no later than January 12, 2024</w:t>
      </w:r>
      <w:r>
        <w:rPr>
          <w:rFonts w:ascii="Merriweather" w:hAnsi="Merriweather" w:cs="Helvetica"/>
          <w:color w:val="000000"/>
          <w:sz w:val="18"/>
          <w:szCs w:val="18"/>
        </w:rPr>
        <w:t xml:space="preserve">, and we will discuss your reporting requirements. </w:t>
      </w:r>
    </w:p>
    <w:p w14:paraId="36343502" w14:textId="77777777" w:rsidR="00E57F22" w:rsidRDefault="00E57F22" w:rsidP="00E57F22">
      <w:pPr>
        <w:pStyle w:val="NormalWeb"/>
        <w:spacing w:before="0" w:beforeAutospacing="0" w:after="0" w:afterAutospacing="0" w:line="360" w:lineRule="auto"/>
        <w:rPr>
          <w:rFonts w:ascii="Helvetica" w:hAnsi="Helvetica" w:cs="Helvetica"/>
          <w:color w:val="000000"/>
        </w:rPr>
      </w:pPr>
    </w:p>
    <w:p w14:paraId="0BE26CD0" w14:textId="77777777" w:rsidR="00E57F22" w:rsidRDefault="00E57F22" w:rsidP="00E57F22">
      <w:pPr>
        <w:pStyle w:val="NormalWeb"/>
        <w:spacing w:before="0" w:beforeAutospacing="0" w:after="0" w:afterAutospacing="0" w:line="360" w:lineRule="auto"/>
        <w:rPr>
          <w:rFonts w:ascii="Helvetica" w:hAnsi="Helvetica" w:cs="Helvetica"/>
          <w:color w:val="000000"/>
        </w:rPr>
      </w:pPr>
      <w:r>
        <w:rPr>
          <w:rFonts w:ascii="Merriweather" w:hAnsi="Merriweather" w:cs="Helvetica"/>
          <w:color w:val="000000"/>
          <w:sz w:val="18"/>
          <w:szCs w:val="18"/>
        </w:rPr>
        <w:t xml:space="preserve">Do you have a household employee (nanny, housekeeper, gardener, etc.) and are not sure if they are an employee?  The IRS provides a helpful publication, the </w:t>
      </w:r>
      <w:hyperlink r:id="rId8" w:history="1">
        <w:r>
          <w:rPr>
            <w:rStyle w:val="Hyperlink"/>
            <w:rFonts w:ascii="Merriweather" w:hAnsi="Merriweather" w:cs="Helvetica"/>
            <w:color w:val="000000"/>
            <w:sz w:val="18"/>
            <w:szCs w:val="18"/>
          </w:rPr>
          <w:t>Household Employer’s Tax Guide</w:t>
        </w:r>
      </w:hyperlink>
      <w:r>
        <w:rPr>
          <w:rFonts w:ascii="Merriweather" w:hAnsi="Merriweather" w:cs="Helvetica"/>
          <w:color w:val="000000"/>
          <w:sz w:val="18"/>
          <w:szCs w:val="18"/>
        </w:rPr>
        <w:t>, to help you determine if you have a household employee.  We can also help answer any questions you have and prepare the required payroll forms.</w:t>
      </w:r>
    </w:p>
    <w:p w14:paraId="08752E4C" w14:textId="77777777" w:rsidR="00E57F22" w:rsidRDefault="00E57F22" w:rsidP="00E57F22">
      <w:pPr>
        <w:pStyle w:val="NormalWeb"/>
        <w:spacing w:before="0" w:beforeAutospacing="0" w:after="0" w:afterAutospacing="0" w:line="360" w:lineRule="auto"/>
        <w:rPr>
          <w:rFonts w:ascii="Helvetica" w:hAnsi="Helvetica" w:cs="Helvetica"/>
          <w:color w:val="000000"/>
        </w:rPr>
      </w:pPr>
    </w:p>
    <w:p w14:paraId="127DDF12" w14:textId="77777777" w:rsidR="00E57F22" w:rsidRDefault="00E57F22" w:rsidP="00E57F22">
      <w:pPr>
        <w:pStyle w:val="NormalWeb"/>
        <w:spacing w:before="0" w:beforeAutospacing="0" w:after="0" w:afterAutospacing="0" w:line="360" w:lineRule="auto"/>
        <w:rPr>
          <w:rFonts w:ascii="Helvetica" w:hAnsi="Helvetica" w:cs="Helvetica"/>
          <w:color w:val="000000"/>
        </w:rPr>
      </w:pPr>
      <w:r>
        <w:rPr>
          <w:rStyle w:val="Strong"/>
          <w:rFonts w:ascii="Merriweather" w:hAnsi="Merriweather" w:cs="Helvetica"/>
          <w:color w:val="000000"/>
          <w:sz w:val="18"/>
          <w:szCs w:val="18"/>
        </w:rPr>
        <w:t>Certain fringe benefits, such as health insurance, auto allowance and others, may need to be reported on Form W-2</w:t>
      </w:r>
      <w:r>
        <w:rPr>
          <w:rFonts w:ascii="Merriweather" w:hAnsi="Merriweather" w:cs="Helvetica"/>
          <w:color w:val="000000"/>
          <w:sz w:val="18"/>
          <w:szCs w:val="18"/>
        </w:rPr>
        <w:t>.  Please contact us if you have any questions regarding what compensation must be reported on Form W-2. Failure to issue Form W-2 or any other required payroll tax form could result in fines and penalties.</w:t>
      </w:r>
    </w:p>
    <w:p w14:paraId="4A2F8292" w14:textId="77777777" w:rsidR="003B082E" w:rsidRDefault="003B082E" w:rsidP="00B91358"/>
    <w:p w14:paraId="48AF3C90" w14:textId="77777777" w:rsidR="00E1689D" w:rsidRPr="00E1689D" w:rsidRDefault="00E1689D" w:rsidP="00E1689D">
      <w:pPr>
        <w:shd w:val="clear" w:color="auto" w:fill="FFFFFF"/>
        <w:spacing w:after="0" w:line="360" w:lineRule="auto"/>
        <w:rPr>
          <w:rFonts w:ascii="Helvetica" w:eastAsia="Times New Roman" w:hAnsi="Helvetica" w:cs="Helvetica"/>
          <w:color w:val="000000"/>
          <w:sz w:val="27"/>
          <w:szCs w:val="27"/>
        </w:rPr>
      </w:pPr>
      <w:r w:rsidRPr="00E1689D">
        <w:rPr>
          <w:rFonts w:ascii="Merriweather" w:eastAsia="Times New Roman" w:hAnsi="Merriweather" w:cs="Helvetica"/>
          <w:b/>
          <w:bCs/>
          <w:color w:val="000000"/>
          <w:sz w:val="18"/>
          <w:szCs w:val="18"/>
          <w:u w:val="single"/>
        </w:rPr>
        <w:t>Form 1099Reporting</w:t>
      </w:r>
    </w:p>
    <w:p w14:paraId="05B3362F" w14:textId="77777777" w:rsidR="00E1689D" w:rsidRPr="00E1689D" w:rsidRDefault="00E1689D" w:rsidP="00E1689D">
      <w:pPr>
        <w:shd w:val="clear" w:color="auto" w:fill="FFFFFF"/>
        <w:spacing w:after="0" w:line="360" w:lineRule="auto"/>
        <w:rPr>
          <w:rFonts w:ascii="Helvetica" w:eastAsia="Times New Roman" w:hAnsi="Helvetica" w:cs="Helvetica"/>
          <w:color w:val="000000"/>
          <w:sz w:val="27"/>
          <w:szCs w:val="27"/>
        </w:rPr>
      </w:pPr>
    </w:p>
    <w:p w14:paraId="473262B2" w14:textId="09E13C3F" w:rsidR="00E1689D" w:rsidRDefault="00E1689D" w:rsidP="00E1689D">
      <w:pPr>
        <w:shd w:val="clear" w:color="auto" w:fill="FFFFFF"/>
        <w:spacing w:after="0" w:line="360" w:lineRule="auto"/>
        <w:rPr>
          <w:rFonts w:ascii="Merriweather" w:eastAsia="Times New Roman" w:hAnsi="Merriweather" w:cs="Helvetica"/>
          <w:color w:val="000000"/>
          <w:sz w:val="18"/>
          <w:szCs w:val="18"/>
        </w:rPr>
      </w:pPr>
      <w:r w:rsidRPr="00E1689D">
        <w:rPr>
          <w:rFonts w:ascii="Merriweather" w:eastAsia="Times New Roman" w:hAnsi="Merriweather" w:cs="Helvetica"/>
          <w:color w:val="000000"/>
          <w:sz w:val="18"/>
          <w:szCs w:val="18"/>
        </w:rPr>
        <w:t xml:space="preserve">All individuals and businesses that are deemed to be conducting a “trade or business” must issue Form 1099-NEC (non-employee compensation) and/or other Forms 1099 to qualifying vendors, contractors, </w:t>
      </w:r>
      <w:r w:rsidRPr="00E1689D">
        <w:rPr>
          <w:rFonts w:ascii="Merriweather" w:eastAsia="Times New Roman" w:hAnsi="Merriweather" w:cs="Helvetica"/>
          <w:color w:val="000000"/>
          <w:sz w:val="18"/>
          <w:szCs w:val="18"/>
        </w:rPr>
        <w:lastRenderedPageBreak/>
        <w:t>attorneys, and other persons.  The filing due date for Forms 1099-NEC, 1099-MISC, 1099-K and other 1099’s is</w:t>
      </w:r>
      <w:r w:rsidRPr="00E1689D">
        <w:rPr>
          <w:rFonts w:ascii="Merriweather" w:eastAsia="Times New Roman" w:hAnsi="Merriweather" w:cs="Helvetica"/>
          <w:b/>
          <w:bCs/>
          <w:color w:val="000000"/>
          <w:sz w:val="18"/>
          <w:szCs w:val="18"/>
          <w:u w:val="single"/>
        </w:rPr>
        <w:t xml:space="preserve"> January 31, 2024</w:t>
      </w:r>
      <w:r w:rsidRPr="00E1689D">
        <w:rPr>
          <w:rFonts w:ascii="Merriweather" w:eastAsia="Times New Roman" w:hAnsi="Merriweather" w:cs="Helvetica"/>
          <w:color w:val="000000"/>
          <w:sz w:val="18"/>
          <w:szCs w:val="18"/>
        </w:rPr>
        <w:t xml:space="preserve">. </w:t>
      </w:r>
    </w:p>
    <w:p w14:paraId="20D0E37A" w14:textId="77777777" w:rsidR="00E1689D" w:rsidRPr="00E1689D" w:rsidRDefault="00E1689D" w:rsidP="00E1689D">
      <w:pPr>
        <w:shd w:val="clear" w:color="auto" w:fill="FFFFFF"/>
        <w:spacing w:after="0" w:line="360" w:lineRule="auto"/>
        <w:rPr>
          <w:rFonts w:ascii="Helvetica" w:eastAsia="Times New Roman" w:hAnsi="Helvetica" w:cs="Helvetica"/>
          <w:color w:val="000000"/>
          <w:sz w:val="27"/>
          <w:szCs w:val="27"/>
        </w:rPr>
      </w:pPr>
    </w:p>
    <w:p w14:paraId="3211BE87" w14:textId="77777777" w:rsidR="00E1689D" w:rsidRDefault="00E1689D" w:rsidP="00E1689D">
      <w:pPr>
        <w:pStyle w:val="NormalWeb"/>
        <w:shd w:val="clear" w:color="auto" w:fill="FFFFFF"/>
        <w:spacing w:before="0" w:beforeAutospacing="0" w:after="0" w:afterAutospacing="0" w:line="360" w:lineRule="auto"/>
        <w:rPr>
          <w:rFonts w:ascii="Helvetica" w:hAnsi="Helvetica" w:cs="Helvetica"/>
          <w:color w:val="000000"/>
          <w:sz w:val="27"/>
          <w:szCs w:val="27"/>
        </w:rPr>
      </w:pPr>
      <w:r>
        <w:rPr>
          <w:rFonts w:ascii="Merriweather" w:hAnsi="Merriweather" w:cs="Helvetica"/>
          <w:color w:val="000000"/>
          <w:sz w:val="18"/>
          <w:szCs w:val="18"/>
        </w:rPr>
        <w:t xml:space="preserve">Click these links to learn more about Forms </w:t>
      </w:r>
      <w:hyperlink r:id="rId9" w:history="1">
        <w:r>
          <w:rPr>
            <w:rStyle w:val="Hyperlink"/>
            <w:rFonts w:ascii="Merriweather" w:hAnsi="Merriweather" w:cs="Helvetica"/>
            <w:color w:val="000000"/>
            <w:sz w:val="18"/>
            <w:szCs w:val="18"/>
          </w:rPr>
          <w:t>1099-MISC</w:t>
        </w:r>
      </w:hyperlink>
      <w:r>
        <w:rPr>
          <w:rFonts w:ascii="Merriweather" w:hAnsi="Merriweather" w:cs="Helvetica"/>
          <w:color w:val="000000"/>
          <w:sz w:val="18"/>
          <w:szCs w:val="18"/>
        </w:rPr>
        <w:t xml:space="preserve"> and </w:t>
      </w:r>
      <w:hyperlink r:id="rId10" w:history="1">
        <w:r>
          <w:rPr>
            <w:rStyle w:val="Hyperlink"/>
            <w:rFonts w:ascii="Merriweather" w:hAnsi="Merriweather" w:cs="Helvetica"/>
            <w:color w:val="000000"/>
            <w:sz w:val="18"/>
            <w:szCs w:val="18"/>
          </w:rPr>
          <w:t>1099-NEC</w:t>
        </w:r>
      </w:hyperlink>
      <w:r>
        <w:rPr>
          <w:rFonts w:ascii="Merriweather" w:hAnsi="Merriweather" w:cs="Helvetica"/>
          <w:color w:val="000000"/>
          <w:sz w:val="18"/>
          <w:szCs w:val="18"/>
        </w:rPr>
        <w:t>.  We can also help answer any questions you have and prepare the required forms.</w:t>
      </w:r>
    </w:p>
    <w:p w14:paraId="6DC7024E" w14:textId="77777777" w:rsidR="00E1689D" w:rsidRDefault="00E1689D" w:rsidP="00E1689D">
      <w:pPr>
        <w:pStyle w:val="NormalWeb"/>
        <w:shd w:val="clear" w:color="auto" w:fill="FFFFFF"/>
        <w:spacing w:before="0" w:beforeAutospacing="0" w:after="0" w:afterAutospacing="0" w:line="360" w:lineRule="auto"/>
        <w:rPr>
          <w:rFonts w:ascii="Helvetica" w:hAnsi="Helvetica" w:cs="Helvetica"/>
          <w:color w:val="000000"/>
          <w:sz w:val="27"/>
          <w:szCs w:val="27"/>
        </w:rPr>
      </w:pPr>
    </w:p>
    <w:p w14:paraId="06B04C32" w14:textId="77777777" w:rsidR="00E1689D" w:rsidRDefault="00E1689D" w:rsidP="00E1689D">
      <w:pPr>
        <w:pStyle w:val="NormalWeb"/>
        <w:shd w:val="clear" w:color="auto" w:fill="FFFFFF"/>
        <w:spacing w:before="0" w:beforeAutospacing="0" w:after="0" w:afterAutospacing="0" w:line="360" w:lineRule="auto"/>
        <w:rPr>
          <w:rFonts w:ascii="Helvetica" w:hAnsi="Helvetica" w:cs="Helvetica"/>
          <w:color w:val="000000"/>
          <w:sz w:val="27"/>
          <w:szCs w:val="27"/>
        </w:rPr>
      </w:pPr>
      <w:r>
        <w:rPr>
          <w:rFonts w:ascii="Merriweather" w:hAnsi="Merriweather" w:cs="Helvetica"/>
          <w:color w:val="000000"/>
          <w:sz w:val="18"/>
          <w:szCs w:val="18"/>
        </w:rPr>
        <w:t>Forms 1099 are issued to non-employee service providers including contractors and vendors who meet the following general requirements (detailed requirements are included in the above IRS instructions):</w:t>
      </w:r>
    </w:p>
    <w:p w14:paraId="3467D655" w14:textId="77777777" w:rsidR="00E1689D" w:rsidRDefault="00E1689D" w:rsidP="00E1689D">
      <w:pPr>
        <w:pStyle w:val="NormalWeb"/>
        <w:numPr>
          <w:ilvl w:val="0"/>
          <w:numId w:val="5"/>
        </w:numPr>
        <w:shd w:val="clear" w:color="auto" w:fill="FFFFFF"/>
        <w:spacing w:after="0" w:afterAutospacing="0" w:line="360" w:lineRule="auto"/>
        <w:rPr>
          <w:rFonts w:ascii="Helvetica" w:hAnsi="Helvetica" w:cs="Helvetica"/>
          <w:color w:val="000000"/>
        </w:rPr>
      </w:pPr>
      <w:r>
        <w:rPr>
          <w:rFonts w:ascii="Merriweather" w:hAnsi="Merriweather" w:cs="Helvetica"/>
          <w:color w:val="000000"/>
          <w:sz w:val="18"/>
          <w:szCs w:val="18"/>
        </w:rPr>
        <w:t xml:space="preserve">Provide services to you (such as legal, engineering and other personal services), </w:t>
      </w:r>
      <w:r>
        <w:rPr>
          <w:rStyle w:val="Strong"/>
          <w:rFonts w:ascii="Merriweather" w:hAnsi="Merriweather" w:cs="Helvetica"/>
          <w:color w:val="000000"/>
          <w:sz w:val="18"/>
          <w:szCs w:val="18"/>
        </w:rPr>
        <w:t>and</w:t>
      </w:r>
    </w:p>
    <w:p w14:paraId="0E964F40" w14:textId="77777777" w:rsidR="00E1689D" w:rsidRDefault="00E1689D" w:rsidP="00E1689D">
      <w:pPr>
        <w:pStyle w:val="NormalWeb"/>
        <w:numPr>
          <w:ilvl w:val="0"/>
          <w:numId w:val="5"/>
        </w:numPr>
        <w:shd w:val="clear" w:color="auto" w:fill="FFFFFF"/>
        <w:spacing w:after="0" w:afterAutospacing="0" w:line="360" w:lineRule="auto"/>
        <w:rPr>
          <w:rFonts w:ascii="Helvetica" w:hAnsi="Helvetica" w:cs="Helvetica"/>
          <w:color w:val="000000"/>
        </w:rPr>
      </w:pPr>
      <w:r>
        <w:rPr>
          <w:rFonts w:ascii="Merriweather" w:hAnsi="Merriweather" w:cs="Helvetica"/>
          <w:color w:val="000000"/>
          <w:sz w:val="18"/>
          <w:szCs w:val="18"/>
        </w:rPr>
        <w:t xml:space="preserve">Are not C- or S- corporations at year-end, </w:t>
      </w:r>
      <w:r>
        <w:rPr>
          <w:rStyle w:val="Strong"/>
          <w:rFonts w:ascii="Merriweather" w:hAnsi="Merriweather" w:cs="Helvetica"/>
          <w:color w:val="000000"/>
          <w:sz w:val="18"/>
          <w:szCs w:val="18"/>
        </w:rPr>
        <w:t>and</w:t>
      </w:r>
    </w:p>
    <w:p w14:paraId="376B11F5" w14:textId="77777777" w:rsidR="00E1689D" w:rsidRDefault="00E1689D" w:rsidP="00E1689D">
      <w:pPr>
        <w:pStyle w:val="NormalWeb"/>
        <w:numPr>
          <w:ilvl w:val="0"/>
          <w:numId w:val="5"/>
        </w:numPr>
        <w:shd w:val="clear" w:color="auto" w:fill="FFFFFF"/>
        <w:spacing w:after="0" w:afterAutospacing="0" w:line="360" w:lineRule="auto"/>
        <w:rPr>
          <w:rFonts w:ascii="Helvetica" w:hAnsi="Helvetica" w:cs="Helvetica"/>
          <w:color w:val="000000"/>
        </w:rPr>
      </w:pPr>
      <w:r>
        <w:rPr>
          <w:rFonts w:ascii="Merriweather" w:hAnsi="Merriweather" w:cs="Helvetica"/>
          <w:color w:val="000000"/>
          <w:sz w:val="18"/>
          <w:szCs w:val="18"/>
        </w:rPr>
        <w:t xml:space="preserve">Receive more than </w:t>
      </w:r>
      <w:r>
        <w:rPr>
          <w:rStyle w:val="Strong"/>
          <w:rFonts w:ascii="Merriweather" w:hAnsi="Merriweather" w:cs="Helvetica"/>
          <w:color w:val="000000"/>
          <w:sz w:val="18"/>
          <w:szCs w:val="18"/>
        </w:rPr>
        <w:t>$600</w:t>
      </w:r>
      <w:r>
        <w:rPr>
          <w:rFonts w:ascii="Merriweather" w:hAnsi="Merriweather" w:cs="Helvetica"/>
          <w:color w:val="000000"/>
          <w:sz w:val="18"/>
          <w:szCs w:val="18"/>
        </w:rPr>
        <w:t xml:space="preserve"> from you by cash or check during the year (Form 1099 reporting is NOT required for payments made by credit card or through third-party payment services such as PayPal. We recommend that businesses issue Forms 1099 for payments over $600 paid with cryptocurrencies).</w:t>
      </w:r>
    </w:p>
    <w:p w14:paraId="219CB754" w14:textId="77777777" w:rsidR="00E1689D" w:rsidRDefault="00E1689D" w:rsidP="00E1689D">
      <w:pPr>
        <w:pStyle w:val="NormalWeb"/>
        <w:shd w:val="clear" w:color="auto" w:fill="FFFFFF"/>
        <w:spacing w:before="0" w:beforeAutospacing="0" w:after="0" w:afterAutospacing="0" w:line="360" w:lineRule="auto"/>
        <w:rPr>
          <w:rFonts w:ascii="Helvetica" w:hAnsi="Helvetica" w:cs="Helvetica"/>
          <w:color w:val="000000"/>
          <w:sz w:val="27"/>
          <w:szCs w:val="27"/>
        </w:rPr>
      </w:pPr>
    </w:p>
    <w:p w14:paraId="1431C465" w14:textId="77777777" w:rsidR="00E1689D" w:rsidRDefault="00E1689D" w:rsidP="00E1689D">
      <w:pPr>
        <w:pStyle w:val="NormalWeb"/>
        <w:shd w:val="clear" w:color="auto" w:fill="FFFFFF"/>
        <w:spacing w:before="0" w:beforeAutospacing="0" w:after="0" w:afterAutospacing="0" w:line="360" w:lineRule="auto"/>
        <w:rPr>
          <w:rFonts w:ascii="Helvetica" w:hAnsi="Helvetica" w:cs="Helvetica"/>
          <w:color w:val="000000"/>
          <w:sz w:val="27"/>
          <w:szCs w:val="27"/>
        </w:rPr>
      </w:pPr>
      <w:r>
        <w:rPr>
          <w:rFonts w:ascii="Merriweather" w:hAnsi="Merriweather" w:cs="Helvetica"/>
          <w:color w:val="000000"/>
          <w:sz w:val="18"/>
          <w:szCs w:val="18"/>
        </w:rPr>
        <w:t xml:space="preserve">Unincorporated residential rental property owners whose activities </w:t>
      </w:r>
      <w:r>
        <w:rPr>
          <w:rStyle w:val="Strong"/>
          <w:rFonts w:ascii="Merriweather" w:hAnsi="Merriweather" w:cs="Helvetica"/>
          <w:color w:val="000000"/>
          <w:sz w:val="18"/>
          <w:szCs w:val="18"/>
        </w:rPr>
        <w:t>rise to the level of a “trade or business”</w:t>
      </w:r>
      <w:r>
        <w:rPr>
          <w:rFonts w:ascii="Merriweather" w:hAnsi="Merriweather" w:cs="Helvetica"/>
          <w:color w:val="000000"/>
          <w:sz w:val="18"/>
          <w:szCs w:val="18"/>
        </w:rPr>
        <w:t xml:space="preserve"> must issue Forms 1099 if all the above requirements are met.  Most individual owner’s residential properties do not rise to this level, and therefore do not need to issue Forms 1099.  Please check with us if you are uncertain whether your rental business rises to the level of a trade or business. </w:t>
      </w:r>
    </w:p>
    <w:p w14:paraId="544816FB" w14:textId="77777777" w:rsidR="00E1689D" w:rsidRDefault="00E1689D" w:rsidP="00E1689D">
      <w:pPr>
        <w:pStyle w:val="NormalWeb"/>
        <w:shd w:val="clear" w:color="auto" w:fill="FFFFFF"/>
        <w:spacing w:before="0" w:beforeAutospacing="0" w:after="0" w:afterAutospacing="0" w:line="360" w:lineRule="auto"/>
        <w:rPr>
          <w:rFonts w:ascii="Helvetica" w:hAnsi="Helvetica" w:cs="Helvetica"/>
          <w:color w:val="000000"/>
          <w:sz w:val="27"/>
          <w:szCs w:val="27"/>
        </w:rPr>
      </w:pPr>
    </w:p>
    <w:p w14:paraId="6CA66F2D" w14:textId="77777777" w:rsidR="00E1689D" w:rsidRDefault="00E1689D" w:rsidP="00E1689D">
      <w:pPr>
        <w:pStyle w:val="NormalWeb"/>
        <w:shd w:val="clear" w:color="auto" w:fill="FFFFFF"/>
        <w:spacing w:before="0" w:beforeAutospacing="0" w:after="0" w:afterAutospacing="0" w:line="360" w:lineRule="auto"/>
        <w:rPr>
          <w:rFonts w:ascii="Helvetica" w:hAnsi="Helvetica" w:cs="Helvetica"/>
          <w:color w:val="000000"/>
          <w:sz w:val="27"/>
          <w:szCs w:val="27"/>
        </w:rPr>
      </w:pPr>
      <w:r>
        <w:rPr>
          <w:rFonts w:ascii="Merriweather" w:hAnsi="Merriweather" w:cs="Helvetica"/>
          <w:color w:val="000000"/>
          <w:sz w:val="18"/>
          <w:szCs w:val="18"/>
        </w:rPr>
        <w:t xml:space="preserve">It is a best practice to obtain a </w:t>
      </w:r>
      <w:hyperlink r:id="rId11" w:tgtFrame="_blank" w:history="1">
        <w:r>
          <w:rPr>
            <w:rStyle w:val="Strong"/>
            <w:rFonts w:ascii="Merriweather" w:hAnsi="Merriweather" w:cs="Helvetica"/>
            <w:color w:val="000000"/>
            <w:sz w:val="18"/>
            <w:szCs w:val="18"/>
            <w:u w:val="single"/>
          </w:rPr>
          <w:t>Form W-9</w:t>
        </w:r>
      </w:hyperlink>
      <w:r>
        <w:rPr>
          <w:rFonts w:ascii="Merriweather" w:hAnsi="Merriweather" w:cs="Helvetica"/>
          <w:color w:val="000000"/>
          <w:sz w:val="18"/>
          <w:szCs w:val="18"/>
        </w:rPr>
        <w:t xml:space="preserve"> from all contractors and vendors annually, in advance of any payments.  If you do not currently have a signed FormW-9 from all contractors and vendors with whom you paid more than $600 during 2023, we suggest you act immediately to obtain this form.  Form W-9 includes relevant vendor information required to issue a Form 1099.  You should obtain a properly filled-out and signed Form W-9 from all your contractors and vendors each year so that Form 1099 may easily be issued, if required. </w:t>
      </w:r>
    </w:p>
    <w:p w14:paraId="480402F0" w14:textId="77777777" w:rsidR="00E1689D" w:rsidRDefault="00E1689D" w:rsidP="00E1689D">
      <w:pPr>
        <w:pStyle w:val="NormalWeb"/>
        <w:shd w:val="clear" w:color="auto" w:fill="FFFFFF"/>
        <w:spacing w:before="0" w:beforeAutospacing="0" w:after="0" w:afterAutospacing="0" w:line="360" w:lineRule="auto"/>
        <w:rPr>
          <w:rFonts w:ascii="Helvetica" w:hAnsi="Helvetica" w:cs="Helvetica"/>
          <w:color w:val="000000"/>
          <w:sz w:val="27"/>
          <w:szCs w:val="27"/>
        </w:rPr>
      </w:pPr>
    </w:p>
    <w:p w14:paraId="5CF1991D" w14:textId="77777777" w:rsidR="00E1689D" w:rsidRDefault="00E1689D" w:rsidP="00E1689D">
      <w:pPr>
        <w:pStyle w:val="NormalWeb"/>
        <w:shd w:val="clear" w:color="auto" w:fill="FFFFFF"/>
        <w:spacing w:before="0" w:beforeAutospacing="0" w:after="0" w:afterAutospacing="0" w:line="360" w:lineRule="auto"/>
        <w:rPr>
          <w:rFonts w:ascii="Helvetica" w:hAnsi="Helvetica" w:cs="Helvetica"/>
          <w:color w:val="000000"/>
          <w:sz w:val="27"/>
          <w:szCs w:val="27"/>
        </w:rPr>
      </w:pPr>
      <w:r>
        <w:rPr>
          <w:rFonts w:ascii="Merriweather" w:hAnsi="Merriweather" w:cs="Helvetica"/>
          <w:color w:val="000000"/>
          <w:sz w:val="18"/>
          <w:szCs w:val="18"/>
        </w:rPr>
        <w:t xml:space="preserve">If you are using QuickBooks Online, you may send requests for W-9 information through an email generated through QuickBooks.  You may obtain blank Form W-9 </w:t>
      </w:r>
      <w:hyperlink r:id="rId12" w:history="1">
        <w:r>
          <w:rPr>
            <w:rStyle w:val="Hyperlink"/>
            <w:rFonts w:ascii="Merriweather" w:hAnsi="Merriweather" w:cs="Helvetica"/>
            <w:color w:val="000000"/>
            <w:sz w:val="18"/>
            <w:szCs w:val="18"/>
          </w:rPr>
          <w:t>here</w:t>
        </w:r>
      </w:hyperlink>
      <w:r>
        <w:rPr>
          <w:rFonts w:ascii="Merriweather" w:hAnsi="Merriweather" w:cs="Helvetica"/>
          <w:color w:val="000000"/>
          <w:sz w:val="18"/>
          <w:szCs w:val="18"/>
        </w:rPr>
        <w:t>.  </w:t>
      </w:r>
    </w:p>
    <w:p w14:paraId="3B8BC4E7" w14:textId="77777777" w:rsidR="00E1689D" w:rsidRDefault="00E1689D" w:rsidP="00E1689D">
      <w:pPr>
        <w:pStyle w:val="NormalWeb"/>
        <w:shd w:val="clear" w:color="auto" w:fill="FFFFFF"/>
        <w:spacing w:before="0" w:beforeAutospacing="0" w:after="0" w:afterAutospacing="0" w:line="360" w:lineRule="auto"/>
        <w:rPr>
          <w:rFonts w:ascii="Helvetica" w:hAnsi="Helvetica" w:cs="Helvetica"/>
          <w:color w:val="000000"/>
          <w:sz w:val="27"/>
          <w:szCs w:val="27"/>
        </w:rPr>
      </w:pPr>
    </w:p>
    <w:p w14:paraId="7C0DA3D0" w14:textId="77777777" w:rsidR="00E1689D" w:rsidRDefault="00E1689D" w:rsidP="00E1689D">
      <w:pPr>
        <w:pStyle w:val="NormalWeb"/>
        <w:shd w:val="clear" w:color="auto" w:fill="FFFFFF"/>
        <w:spacing w:before="0" w:beforeAutospacing="0" w:after="0" w:afterAutospacing="0" w:line="360" w:lineRule="auto"/>
        <w:rPr>
          <w:rFonts w:ascii="Helvetica" w:hAnsi="Helvetica" w:cs="Helvetica"/>
          <w:color w:val="000000"/>
          <w:sz w:val="27"/>
          <w:szCs w:val="27"/>
        </w:rPr>
      </w:pPr>
      <w:r>
        <w:rPr>
          <w:rFonts w:ascii="Merriweather" w:hAnsi="Merriweather" w:cs="Helvetica"/>
          <w:color w:val="000000"/>
          <w:sz w:val="18"/>
          <w:szCs w:val="18"/>
        </w:rPr>
        <w:t xml:space="preserve">Failure to issue Forms 1099 may result in fines and penalties.  In addition, it is also important to understand and correctly apply the rules for classifying a worker as an employee or as an independent contractor.  The IRS provides a helpful analysis </w:t>
      </w:r>
      <w:hyperlink r:id="rId13" w:anchor=":~:text=The%20general%20rule%20is%20that,in%20the%20employer%2Fworker%20relationship." w:history="1">
        <w:r>
          <w:rPr>
            <w:rStyle w:val="Hyperlink"/>
            <w:rFonts w:ascii="Merriweather" w:hAnsi="Merriweather" w:cs="Helvetica"/>
            <w:color w:val="000000"/>
            <w:sz w:val="18"/>
            <w:szCs w:val="18"/>
          </w:rPr>
          <w:t>here</w:t>
        </w:r>
      </w:hyperlink>
      <w:r>
        <w:rPr>
          <w:rFonts w:ascii="Merriweather" w:hAnsi="Merriweather" w:cs="Helvetica"/>
          <w:color w:val="000000"/>
          <w:sz w:val="18"/>
          <w:szCs w:val="18"/>
        </w:rPr>
        <w:t xml:space="preserve">. </w:t>
      </w:r>
    </w:p>
    <w:p w14:paraId="325250DC" w14:textId="77777777" w:rsidR="00E1689D" w:rsidRDefault="00E1689D" w:rsidP="00E1689D">
      <w:pPr>
        <w:pStyle w:val="NormalWeb"/>
        <w:shd w:val="clear" w:color="auto" w:fill="FFFFFF"/>
        <w:spacing w:before="0" w:beforeAutospacing="0" w:after="0" w:afterAutospacing="0" w:line="360" w:lineRule="auto"/>
        <w:rPr>
          <w:rFonts w:ascii="Helvetica" w:hAnsi="Helvetica" w:cs="Helvetica"/>
          <w:color w:val="000000"/>
          <w:sz w:val="27"/>
          <w:szCs w:val="27"/>
        </w:rPr>
      </w:pPr>
    </w:p>
    <w:p w14:paraId="1AF4C9C9" w14:textId="77777777" w:rsidR="00E1689D" w:rsidRDefault="00E1689D" w:rsidP="00E1689D">
      <w:pPr>
        <w:pStyle w:val="NormalWeb"/>
        <w:shd w:val="clear" w:color="auto" w:fill="FFFFFF"/>
        <w:spacing w:before="0" w:beforeAutospacing="0" w:after="0" w:afterAutospacing="0" w:line="360" w:lineRule="auto"/>
        <w:rPr>
          <w:rFonts w:ascii="Helvetica" w:hAnsi="Helvetica" w:cs="Helvetica"/>
          <w:color w:val="000000"/>
          <w:sz w:val="27"/>
          <w:szCs w:val="27"/>
        </w:rPr>
      </w:pPr>
      <w:r>
        <w:rPr>
          <w:rFonts w:ascii="Merriweather" w:hAnsi="Merriweather" w:cs="Helvetica"/>
          <w:color w:val="000000"/>
          <w:sz w:val="18"/>
          <w:szCs w:val="18"/>
        </w:rPr>
        <w:lastRenderedPageBreak/>
        <w:t xml:space="preserve">We can help you with 1099 Reporting!  Please contact </w:t>
      </w:r>
      <w:hyperlink r:id="rId14" w:tgtFrame="_blank" w:history="1">
        <w:r>
          <w:rPr>
            <w:rStyle w:val="Hyperlink"/>
            <w:rFonts w:ascii="Merriweather" w:hAnsi="Merriweather" w:cs="Helvetica"/>
            <w:color w:val="000000"/>
            <w:sz w:val="18"/>
            <w:szCs w:val="18"/>
          </w:rPr>
          <w:t xml:space="preserve">Beth </w:t>
        </w:r>
      </w:hyperlink>
      <w:r>
        <w:rPr>
          <w:rStyle w:val="Strong"/>
          <w:rFonts w:ascii="Merriweather" w:hAnsi="Merriweather" w:cs="Helvetica"/>
          <w:color w:val="000000"/>
          <w:sz w:val="18"/>
          <w:szCs w:val="18"/>
          <w:u w:val="single"/>
        </w:rPr>
        <w:t xml:space="preserve">no later than January 12, 2024, </w:t>
      </w:r>
      <w:r>
        <w:rPr>
          <w:rFonts w:ascii="Merriweather" w:hAnsi="Merriweather" w:cs="Helvetica"/>
          <w:color w:val="000000"/>
          <w:sz w:val="18"/>
          <w:szCs w:val="18"/>
        </w:rPr>
        <w:t xml:space="preserve">and we will discuss your 1099 reporting requirements.  </w:t>
      </w:r>
      <w:r>
        <w:rPr>
          <w:rStyle w:val="Strong"/>
          <w:rFonts w:ascii="Merriweather" w:hAnsi="Merriweather" w:cs="Helvetica"/>
          <w:i/>
          <w:iCs/>
          <w:color w:val="000000"/>
          <w:sz w:val="18"/>
          <w:szCs w:val="18"/>
        </w:rPr>
        <w:t xml:space="preserve">Please note that we will need all your W-9 and vendor payment information no later than January 15, 2024, to ensure we meet the IRS filing deadline. </w:t>
      </w:r>
    </w:p>
    <w:p w14:paraId="1A3061C9" w14:textId="5439C69E" w:rsidR="00961A8F" w:rsidRDefault="00961A8F" w:rsidP="00E1689D">
      <w:pPr>
        <w:spacing w:line="360" w:lineRule="auto"/>
        <w:rPr>
          <w:i/>
          <w:iCs/>
        </w:rPr>
      </w:pPr>
    </w:p>
    <w:p w14:paraId="4B8A1ED4" w14:textId="77777777" w:rsidR="00E1689D" w:rsidRDefault="00E1689D" w:rsidP="00E1689D">
      <w:pPr>
        <w:pStyle w:val="NormalWeb"/>
        <w:shd w:val="clear" w:color="auto" w:fill="FFFFFF"/>
        <w:spacing w:before="0" w:beforeAutospacing="0" w:after="0" w:afterAutospacing="0" w:line="360" w:lineRule="auto"/>
        <w:rPr>
          <w:rFonts w:ascii="Helvetica" w:hAnsi="Helvetica" w:cs="Helvetica"/>
          <w:color w:val="000000"/>
          <w:sz w:val="27"/>
          <w:szCs w:val="27"/>
        </w:rPr>
      </w:pPr>
      <w:r>
        <w:rPr>
          <w:rFonts w:ascii="Merriweather" w:hAnsi="Merriweather" w:cs="Helvetica"/>
          <w:color w:val="000000"/>
          <w:sz w:val="18"/>
          <w:szCs w:val="18"/>
        </w:rPr>
        <w:t>Please look for other mailings from Brenner Global Associates during December 2023 and January 2024:</w:t>
      </w:r>
    </w:p>
    <w:p w14:paraId="0CCD9797" w14:textId="77777777" w:rsidR="00E1689D" w:rsidRDefault="00E1689D" w:rsidP="00E1689D">
      <w:pPr>
        <w:pStyle w:val="NormalWeb"/>
        <w:numPr>
          <w:ilvl w:val="0"/>
          <w:numId w:val="6"/>
        </w:numPr>
        <w:shd w:val="clear" w:color="auto" w:fill="FFFFFF"/>
        <w:spacing w:after="0" w:afterAutospacing="0" w:line="360" w:lineRule="auto"/>
        <w:rPr>
          <w:rFonts w:ascii="Helvetica" w:hAnsi="Helvetica" w:cs="Helvetica"/>
          <w:color w:val="000000"/>
        </w:rPr>
      </w:pPr>
      <w:r>
        <w:rPr>
          <w:rStyle w:val="Emphasis"/>
          <w:rFonts w:ascii="Merriweather" w:hAnsi="Merriweather" w:cs="Helvetica"/>
          <w:color w:val="000000"/>
          <w:sz w:val="18"/>
          <w:szCs w:val="18"/>
        </w:rPr>
        <w:t> Welcome Letter to 2023 Individual Tax Return Preparation Season (January 2024)</w:t>
      </w:r>
    </w:p>
    <w:p w14:paraId="463D36E6" w14:textId="77777777" w:rsidR="00E1689D" w:rsidRDefault="00E1689D" w:rsidP="00E1689D">
      <w:pPr>
        <w:pStyle w:val="NormalWeb"/>
        <w:numPr>
          <w:ilvl w:val="0"/>
          <w:numId w:val="6"/>
        </w:numPr>
        <w:shd w:val="clear" w:color="auto" w:fill="FFFFFF"/>
        <w:spacing w:after="0" w:afterAutospacing="0" w:line="360" w:lineRule="auto"/>
        <w:rPr>
          <w:rFonts w:ascii="Helvetica" w:hAnsi="Helvetica" w:cs="Helvetica"/>
          <w:color w:val="000000"/>
        </w:rPr>
      </w:pPr>
      <w:r>
        <w:rPr>
          <w:rStyle w:val="Emphasis"/>
          <w:rFonts w:ascii="Merriweather" w:hAnsi="Merriweather" w:cs="Helvetica"/>
          <w:color w:val="000000"/>
          <w:sz w:val="18"/>
          <w:szCs w:val="18"/>
        </w:rPr>
        <w:t xml:space="preserve">Access Instructions for Intuit Link and SmartVault (January 2024) </w:t>
      </w:r>
    </w:p>
    <w:p w14:paraId="356FF47D" w14:textId="77777777" w:rsidR="00E1689D" w:rsidRDefault="00E1689D" w:rsidP="00E1689D">
      <w:pPr>
        <w:pStyle w:val="NormalWeb"/>
        <w:numPr>
          <w:ilvl w:val="0"/>
          <w:numId w:val="6"/>
        </w:numPr>
        <w:shd w:val="clear" w:color="auto" w:fill="FFFFFF"/>
        <w:spacing w:after="0" w:afterAutospacing="0" w:line="360" w:lineRule="auto"/>
        <w:rPr>
          <w:rFonts w:ascii="Helvetica" w:hAnsi="Helvetica" w:cs="Helvetica"/>
          <w:color w:val="000000"/>
        </w:rPr>
      </w:pPr>
      <w:r>
        <w:rPr>
          <w:rStyle w:val="Emphasis"/>
          <w:rFonts w:ascii="Merriweather" w:hAnsi="Merriweather" w:cs="Helvetica"/>
          <w:color w:val="000000"/>
          <w:sz w:val="18"/>
          <w:szCs w:val="18"/>
        </w:rPr>
        <w:t>Reporting under the Corporate Transparency Act (December 2023)</w:t>
      </w:r>
    </w:p>
    <w:p w14:paraId="23033E92" w14:textId="77777777" w:rsidR="00E1689D" w:rsidRDefault="00E1689D" w:rsidP="00E1689D">
      <w:pPr>
        <w:pStyle w:val="NormalWeb"/>
        <w:numPr>
          <w:ilvl w:val="0"/>
          <w:numId w:val="6"/>
        </w:numPr>
        <w:shd w:val="clear" w:color="auto" w:fill="FFFFFF"/>
        <w:spacing w:after="0" w:afterAutospacing="0" w:line="360" w:lineRule="auto"/>
        <w:rPr>
          <w:rFonts w:ascii="Helvetica" w:hAnsi="Helvetica" w:cs="Helvetica"/>
          <w:color w:val="000000"/>
        </w:rPr>
      </w:pPr>
      <w:r>
        <w:rPr>
          <w:rStyle w:val="Emphasis"/>
          <w:rFonts w:ascii="Merriweather" w:hAnsi="Merriweather" w:cs="Helvetica"/>
          <w:color w:val="000000"/>
          <w:sz w:val="18"/>
          <w:szCs w:val="18"/>
        </w:rPr>
        <w:t>Residential Energy and Electric Vehicle Credits (January 2024)</w:t>
      </w:r>
    </w:p>
    <w:p w14:paraId="4E8434BD" w14:textId="77777777" w:rsidR="00E1689D" w:rsidRDefault="00E1689D" w:rsidP="00E1689D">
      <w:pPr>
        <w:pStyle w:val="NormalWeb"/>
        <w:numPr>
          <w:ilvl w:val="0"/>
          <w:numId w:val="6"/>
        </w:numPr>
        <w:shd w:val="clear" w:color="auto" w:fill="FFFFFF"/>
        <w:spacing w:after="0" w:afterAutospacing="0" w:line="360" w:lineRule="auto"/>
        <w:rPr>
          <w:rFonts w:ascii="Helvetica" w:hAnsi="Helvetica" w:cs="Helvetica"/>
          <w:color w:val="000000"/>
        </w:rPr>
      </w:pPr>
      <w:r>
        <w:rPr>
          <w:rStyle w:val="Emphasis"/>
          <w:rFonts w:ascii="Merriweather" w:hAnsi="Merriweather" w:cs="Helvetica"/>
          <w:color w:val="000000"/>
          <w:sz w:val="18"/>
          <w:szCs w:val="18"/>
        </w:rPr>
        <w:t>New Form 1099-K (December 2023)</w:t>
      </w:r>
    </w:p>
    <w:p w14:paraId="4EBF1686" w14:textId="0D71A1C9" w:rsidR="00E1689D" w:rsidRPr="00E1689D" w:rsidRDefault="00E1689D" w:rsidP="00E1689D">
      <w:pPr>
        <w:pStyle w:val="NormalWeb"/>
        <w:numPr>
          <w:ilvl w:val="0"/>
          <w:numId w:val="6"/>
        </w:numPr>
        <w:shd w:val="clear" w:color="auto" w:fill="FFFFFF"/>
        <w:spacing w:after="0" w:afterAutospacing="0" w:line="360" w:lineRule="auto"/>
        <w:rPr>
          <w:rFonts w:ascii="Helvetica" w:hAnsi="Helvetica" w:cs="Helvetica"/>
          <w:color w:val="000000"/>
        </w:rPr>
      </w:pPr>
      <w:r>
        <w:rPr>
          <w:rStyle w:val="Emphasis"/>
          <w:rFonts w:ascii="Merriweather" w:hAnsi="Merriweather" w:cs="Helvetica"/>
          <w:color w:val="000000"/>
          <w:sz w:val="18"/>
          <w:szCs w:val="18"/>
        </w:rPr>
        <w:t xml:space="preserve">Quarterly Estimated Tax Payments (December2023) </w:t>
      </w:r>
    </w:p>
    <w:p w14:paraId="2C056BA6" w14:textId="66FF7A6C" w:rsidR="003B082E" w:rsidRDefault="003B082E" w:rsidP="005C3E85">
      <w:pPr>
        <w:spacing w:after="0" w:line="360" w:lineRule="auto"/>
      </w:pPr>
    </w:p>
    <w:p w14:paraId="5F8CFC13" w14:textId="50C44497" w:rsidR="00B91358" w:rsidRPr="00E1689D" w:rsidRDefault="00E1689D" w:rsidP="005C3E85">
      <w:pPr>
        <w:spacing w:line="360" w:lineRule="auto"/>
        <w:rPr>
          <w:rFonts w:ascii="Merriweather" w:hAnsi="Merriweather"/>
          <w:b/>
          <w:bCs/>
          <w:color w:val="000000"/>
          <w:sz w:val="18"/>
          <w:szCs w:val="18"/>
          <w:shd w:val="clear" w:color="auto" w:fill="FFFFFF"/>
        </w:rPr>
      </w:pPr>
      <w:r>
        <w:rPr>
          <w:rFonts w:ascii="Merriweather" w:hAnsi="Merriweather"/>
          <w:color w:val="000000"/>
          <w:sz w:val="18"/>
          <w:szCs w:val="18"/>
          <w:shd w:val="clear" w:color="auto" w:fill="FFFFFF"/>
        </w:rPr>
        <w:t xml:space="preserve">Brenner Global Associates, LLC –certified public accountants – is a firm of dedicated professionals focused on advisory, tax, and accounting for small and mid-sized businesses and individuals requiring international and multi-state expertise. </w:t>
      </w:r>
      <w:r>
        <w:rPr>
          <w:rFonts w:ascii="Merriweather" w:hAnsi="Merriweather"/>
          <w:color w:val="000000"/>
          <w:sz w:val="18"/>
          <w:szCs w:val="18"/>
          <w:shd w:val="clear" w:color="auto" w:fill="FFFFFF"/>
        </w:rPr>
        <w:br/>
      </w:r>
      <w:r>
        <w:rPr>
          <w:rFonts w:ascii="Merriweather" w:hAnsi="Merriweather"/>
          <w:b/>
          <w:bCs/>
          <w:color w:val="000000"/>
          <w:sz w:val="18"/>
          <w:szCs w:val="18"/>
          <w:shd w:val="clear" w:color="auto" w:fill="FFFFFF"/>
        </w:rPr>
        <w:t>______________________________________________________________</w:t>
      </w:r>
    </w:p>
    <w:tbl>
      <w:tblPr>
        <w:tblW w:w="5000" w:type="pct"/>
        <w:shd w:val="clear" w:color="auto" w:fill="FFFFFF"/>
        <w:tblCellMar>
          <w:left w:w="0" w:type="dxa"/>
          <w:right w:w="0" w:type="dxa"/>
        </w:tblCellMar>
        <w:tblLook w:val="04A0" w:firstRow="1" w:lastRow="0" w:firstColumn="1" w:lastColumn="0" w:noHBand="0" w:noVBand="1"/>
      </w:tblPr>
      <w:tblGrid>
        <w:gridCol w:w="9360"/>
      </w:tblGrid>
      <w:tr w:rsidR="00E1689D" w14:paraId="7FA2FA5B" w14:textId="77777777" w:rsidTr="00E1689D">
        <w:tc>
          <w:tcPr>
            <w:tcW w:w="0" w:type="auto"/>
            <w:shd w:val="clear" w:color="auto" w:fill="FFFFFF"/>
            <w:tcMar>
              <w:top w:w="180" w:type="dxa"/>
              <w:left w:w="0" w:type="dxa"/>
              <w:bottom w:w="18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E1689D" w14:paraId="22B6FD72"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E1689D" w14:paraId="00A2EC6E" w14:textId="77777777">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E1689D" w14:paraId="2E88D9A5" w14:textId="77777777">
                          <w:tc>
                            <w:tcPr>
                              <w:tcW w:w="0" w:type="auto"/>
                              <w:hideMark/>
                            </w:tcPr>
                            <w:tbl>
                              <w:tblPr>
                                <w:tblW w:w="0" w:type="dxa"/>
                                <w:jc w:val="center"/>
                                <w:tblCellMar>
                                  <w:left w:w="0" w:type="dxa"/>
                                  <w:right w:w="0" w:type="dxa"/>
                                </w:tblCellMar>
                                <w:tblLook w:val="04A0" w:firstRow="1" w:lastRow="0" w:firstColumn="1" w:lastColumn="0" w:noHBand="0" w:noVBand="1"/>
                              </w:tblPr>
                              <w:tblGrid>
                                <w:gridCol w:w="1320"/>
                              </w:tblGrid>
                              <w:tr w:rsidR="00E1689D" w14:paraId="14B22DDE" w14:textId="77777777">
                                <w:trPr>
                                  <w:jc w:val="center"/>
                                </w:trPr>
                                <w:tc>
                                  <w:tcPr>
                                    <w:tcW w:w="0" w:type="auto"/>
                                    <w:tcMar>
                                      <w:top w:w="0" w:type="dxa"/>
                                      <w:left w:w="360" w:type="dxa"/>
                                      <w:bottom w:w="0" w:type="dxa"/>
                                      <w:right w:w="360" w:type="dxa"/>
                                    </w:tcMar>
                                    <w:hideMark/>
                                  </w:tcPr>
                                  <w:p w14:paraId="17C25135" w14:textId="02E81443" w:rsidR="00E1689D" w:rsidRDefault="00E1689D">
                                    <w:r>
                                      <w:rPr>
                                        <w:noProof/>
                                        <w:color w:val="0000FF"/>
                                      </w:rPr>
                                      <w:drawing>
                                        <wp:inline distT="0" distB="0" distL="0" distR="0" wp14:anchorId="01828ED4" wp14:editId="4B7C8430">
                                          <wp:extent cx="381000" cy="381000"/>
                                          <wp:effectExtent l="0" t="0" r="0" b="0"/>
                                          <wp:docPr id="4" name="Picture 4" descr="Website icon">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site icon">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1296640C" w14:textId="77777777" w:rsidR="00E1689D" w:rsidRDefault="00E1689D">
                              <w:pPr>
                                <w:jc w:val="center"/>
                              </w:pPr>
                            </w:p>
                          </w:tc>
                        </w:tr>
                      </w:tbl>
                      <w:p w14:paraId="53125064" w14:textId="77777777" w:rsidR="00E1689D" w:rsidRDefault="00E1689D">
                        <w:pPr>
                          <w:spacing w:after="360"/>
                          <w:rPr>
                            <w:sz w:val="24"/>
                            <w:szCs w:val="24"/>
                          </w:rPr>
                        </w:pPr>
                      </w:p>
                    </w:tc>
                  </w:tr>
                </w:tbl>
                <w:p w14:paraId="0554D689" w14:textId="77777777" w:rsidR="00E1689D" w:rsidRDefault="00E1689D">
                  <w:pPr>
                    <w:spacing w:after="0"/>
                    <w:rPr>
                      <w:sz w:val="24"/>
                      <w:szCs w:val="24"/>
                    </w:rPr>
                  </w:pPr>
                </w:p>
              </w:tc>
            </w:tr>
          </w:tbl>
          <w:p w14:paraId="6125BBD0" w14:textId="77777777" w:rsidR="00E1689D" w:rsidRDefault="00E1689D">
            <w:pPr>
              <w:rPr>
                <w:color w:val="000000"/>
                <w:sz w:val="27"/>
                <w:szCs w:val="27"/>
              </w:rPr>
            </w:pPr>
          </w:p>
        </w:tc>
      </w:tr>
      <w:tr w:rsidR="00E1689D" w14:paraId="1A7528D3" w14:textId="77777777" w:rsidTr="00E1689D">
        <w:tc>
          <w:tcPr>
            <w:tcW w:w="0" w:type="auto"/>
            <w:shd w:val="clear" w:color="auto" w:fill="FFFFFF"/>
            <w:tcMar>
              <w:top w:w="120" w:type="dxa"/>
              <w:left w:w="120" w:type="dxa"/>
              <w:bottom w:w="120" w:type="dxa"/>
              <w:right w:w="120" w:type="dxa"/>
            </w:tcMar>
            <w:hideMark/>
          </w:tcPr>
          <w:tbl>
            <w:tblPr>
              <w:tblW w:w="5000" w:type="pct"/>
              <w:jc w:val="center"/>
              <w:tblCellMar>
                <w:left w:w="0" w:type="dxa"/>
                <w:right w:w="0" w:type="dxa"/>
              </w:tblCellMar>
              <w:tblLook w:val="04A0" w:firstRow="1" w:lastRow="0" w:firstColumn="1" w:lastColumn="0" w:noHBand="0" w:noVBand="1"/>
            </w:tblPr>
            <w:tblGrid>
              <w:gridCol w:w="9120"/>
            </w:tblGrid>
            <w:tr w:rsidR="00E1689D" w14:paraId="26322333"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120"/>
                  </w:tblGrid>
                  <w:tr w:rsidR="00E1689D" w14:paraId="508537D1" w14:textId="77777777">
                    <w:tc>
                      <w:tcPr>
                        <w:tcW w:w="5000" w:type="pct"/>
                        <w:hideMark/>
                      </w:tcPr>
                      <w:tbl>
                        <w:tblPr>
                          <w:tblW w:w="5000" w:type="pct"/>
                          <w:tblCellMar>
                            <w:left w:w="0" w:type="dxa"/>
                            <w:right w:w="0" w:type="dxa"/>
                          </w:tblCellMar>
                          <w:tblLook w:val="04A0" w:firstRow="1" w:lastRow="0" w:firstColumn="1" w:lastColumn="0" w:noHBand="0" w:noVBand="1"/>
                        </w:tblPr>
                        <w:tblGrid>
                          <w:gridCol w:w="9120"/>
                        </w:tblGrid>
                        <w:tr w:rsidR="00E1689D" w14:paraId="75EECEFC" w14:textId="77777777">
                          <w:tc>
                            <w:tcPr>
                              <w:tcW w:w="0" w:type="auto"/>
                              <w:tcMar>
                                <w:top w:w="180" w:type="dxa"/>
                                <w:left w:w="240" w:type="dxa"/>
                                <w:bottom w:w="180" w:type="dxa"/>
                                <w:right w:w="240" w:type="dxa"/>
                              </w:tcMar>
                              <w:hideMark/>
                            </w:tcPr>
                            <w:p w14:paraId="2A6B6AD9" w14:textId="77777777" w:rsidR="00E1689D" w:rsidRDefault="00E1689D" w:rsidP="00E1689D">
                              <w:pPr>
                                <w:pStyle w:val="last-child"/>
                                <w:spacing w:before="0" w:beforeAutospacing="0" w:after="0" w:afterAutospacing="0" w:line="276" w:lineRule="auto"/>
                                <w:jc w:val="center"/>
                                <w:rPr>
                                  <w:rFonts w:ascii="Helvetica" w:hAnsi="Helvetica" w:cs="Helvetica"/>
                                  <w:color w:val="000000"/>
                                </w:rPr>
                              </w:pPr>
                              <w:r>
                                <w:rPr>
                                  <w:rStyle w:val="Emphasis"/>
                                  <w:rFonts w:ascii="Helvetica" w:hAnsi="Helvetica" w:cs="Helvetica"/>
                                  <w:color w:val="000000"/>
                                  <w:sz w:val="18"/>
                                  <w:szCs w:val="18"/>
                                </w:rPr>
                                <w:t>Copyright (C) 2023 Brenner Global Associates. All rights reserved.</w:t>
                              </w:r>
                              <w:r>
                                <w:rPr>
                                  <w:rFonts w:ascii="Helvetica" w:hAnsi="Helvetica" w:cs="Helvetica"/>
                                  <w:color w:val="000000"/>
                                  <w:sz w:val="18"/>
                                  <w:szCs w:val="18"/>
                                </w:rPr>
                                <w:br/>
                              </w:r>
                              <w:r>
                                <w:rPr>
                                  <w:rFonts w:ascii="Helvetica" w:hAnsi="Helvetica" w:cs="Helvetica"/>
                                  <w:color w:val="000000"/>
                                  <w:sz w:val="18"/>
                                  <w:szCs w:val="18"/>
                                </w:rPr>
                                <w:br/>
                              </w:r>
                              <w:r>
                                <w:rPr>
                                  <w:rFonts w:ascii="Merriweather" w:hAnsi="Merriweather" w:cs="Helvetica"/>
                                  <w:color w:val="000000"/>
                                  <w:sz w:val="18"/>
                                  <w:szCs w:val="18"/>
                                </w:rPr>
                                <w:t>Our mailing address is:</w:t>
                              </w:r>
                              <w:r>
                                <w:rPr>
                                  <w:rFonts w:ascii="Merriweather" w:hAnsi="Merriweather" w:cs="Helvetica"/>
                                  <w:color w:val="000000"/>
                                  <w:sz w:val="18"/>
                                  <w:szCs w:val="18"/>
                                </w:rPr>
                                <w:br/>
                                <w:t>Brenner Global Associates</w:t>
                              </w:r>
                              <w:r>
                                <w:rPr>
                                  <w:rFonts w:ascii="Merriweather" w:hAnsi="Merriweather" w:cs="Helvetica"/>
                                  <w:color w:val="000000"/>
                                  <w:sz w:val="18"/>
                                  <w:szCs w:val="18"/>
                                </w:rPr>
                                <w:br/>
                                <w:t>4025 Feather Lakes Way, No. 6161</w:t>
                              </w:r>
                              <w:r>
                                <w:rPr>
                                  <w:rFonts w:ascii="Merriweather" w:hAnsi="Merriweather" w:cs="Helvetica"/>
                                  <w:color w:val="000000"/>
                                  <w:sz w:val="18"/>
                                  <w:szCs w:val="18"/>
                                </w:rPr>
                                <w:br/>
                                <w:t>Kingwood, TX 77339</w:t>
                              </w:r>
                              <w:r>
                                <w:rPr>
                                  <w:rFonts w:ascii="Merriweather" w:hAnsi="Merriweather" w:cs="Helvetica"/>
                                  <w:color w:val="000000"/>
                                  <w:sz w:val="18"/>
                                  <w:szCs w:val="18"/>
                                </w:rPr>
                                <w:br/>
                                <w:t>(281) 360-2800</w:t>
                              </w:r>
                              <w:r>
                                <w:rPr>
                                  <w:rFonts w:ascii="Merriweather" w:hAnsi="Merriweather" w:cs="Helvetica"/>
                                  <w:color w:val="000000"/>
                                  <w:sz w:val="18"/>
                                  <w:szCs w:val="18"/>
                                </w:rPr>
                                <w:br/>
                              </w:r>
                              <w:r>
                                <w:rPr>
                                  <w:rFonts w:ascii="Merriweather" w:hAnsi="Merriweather" w:cs="Helvetica"/>
                                  <w:color w:val="000000"/>
                                  <w:sz w:val="18"/>
                                  <w:szCs w:val="18"/>
                                </w:rPr>
                                <w:br/>
                                <w:t>Want to change how you receive these emails?</w:t>
                              </w:r>
                              <w:r>
                                <w:rPr>
                                  <w:rFonts w:ascii="Merriweather" w:hAnsi="Merriweather" w:cs="Helvetica"/>
                                  <w:color w:val="000000"/>
                                  <w:sz w:val="18"/>
                                  <w:szCs w:val="18"/>
                                </w:rPr>
                                <w:br/>
                                <w:t xml:space="preserve">You can </w:t>
                              </w:r>
                              <w:hyperlink r:id="rId17" w:history="1">
                                <w:r>
                                  <w:rPr>
                                    <w:rStyle w:val="Hyperlink"/>
                                    <w:rFonts w:ascii="Merriweather" w:hAnsi="Merriweather" w:cs="Helvetica"/>
                                    <w:color w:val="000000"/>
                                    <w:sz w:val="18"/>
                                    <w:szCs w:val="18"/>
                                  </w:rPr>
                                  <w:t>update your preferences</w:t>
                                </w:r>
                              </w:hyperlink>
                              <w:r>
                                <w:rPr>
                                  <w:rFonts w:ascii="Merriweather" w:hAnsi="Merriweather" w:cs="Helvetica"/>
                                  <w:color w:val="000000"/>
                                  <w:sz w:val="18"/>
                                  <w:szCs w:val="18"/>
                                </w:rPr>
                                <w:t xml:space="preserve"> or </w:t>
                              </w:r>
                              <w:hyperlink r:id="rId18" w:history="1">
                                <w:r>
                                  <w:rPr>
                                    <w:rStyle w:val="Hyperlink"/>
                                    <w:rFonts w:ascii="Merriweather" w:hAnsi="Merriweather" w:cs="Helvetica"/>
                                    <w:color w:val="000000"/>
                                    <w:sz w:val="18"/>
                                    <w:szCs w:val="18"/>
                                  </w:rPr>
                                  <w:t>unsubscribe</w:t>
                                </w:r>
                              </w:hyperlink>
                            </w:p>
                          </w:tc>
                        </w:tr>
                        <w:tr w:rsidR="00E1689D" w14:paraId="1DAC51E0" w14:textId="77777777">
                          <w:tc>
                            <w:tcPr>
                              <w:tcW w:w="0" w:type="auto"/>
                              <w:tcMar>
                                <w:top w:w="180" w:type="dxa"/>
                                <w:left w:w="0" w:type="dxa"/>
                                <w:bottom w:w="180" w:type="dxa"/>
                                <w:right w:w="0" w:type="dxa"/>
                              </w:tcMar>
                              <w:hideMark/>
                            </w:tcPr>
                            <w:p w14:paraId="658796AD" w14:textId="2E814D2A" w:rsidR="00E1689D" w:rsidRDefault="00E1689D">
                              <w:pPr>
                                <w:jc w:val="center"/>
                                <w:rPr>
                                  <w:rFonts w:ascii="Times New Roman" w:hAnsi="Times New Roman" w:cs="Times New Roman"/>
                                </w:rPr>
                              </w:pPr>
                              <w:r>
                                <w:rPr>
                                  <w:noProof/>
                                </w:rPr>
                                <w:drawing>
                                  <wp:inline distT="0" distB="0" distL="0" distR="0" wp14:anchorId="08AE0A00" wp14:editId="6AF4056E">
                                    <wp:extent cx="2381250" cy="809625"/>
                                    <wp:effectExtent l="0" t="0" r="0" b="9525"/>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81250" cy="809625"/>
                                            </a:xfrm>
                                            <a:prstGeom prst="rect">
                                              <a:avLst/>
                                            </a:prstGeom>
                                            <a:noFill/>
                                            <a:ln>
                                              <a:noFill/>
                                            </a:ln>
                                          </pic:spPr>
                                        </pic:pic>
                                      </a:graphicData>
                                    </a:graphic>
                                  </wp:inline>
                                </w:drawing>
                              </w:r>
                            </w:p>
                          </w:tc>
                        </w:tr>
                      </w:tbl>
                      <w:p w14:paraId="76CDCED8" w14:textId="77777777" w:rsidR="00E1689D" w:rsidRDefault="00E1689D">
                        <w:pPr>
                          <w:spacing w:after="180"/>
                        </w:pPr>
                      </w:p>
                    </w:tc>
                  </w:tr>
                </w:tbl>
                <w:p w14:paraId="21BB36CD" w14:textId="77777777" w:rsidR="00E1689D" w:rsidRDefault="00E1689D">
                  <w:pPr>
                    <w:spacing w:after="0"/>
                    <w:rPr>
                      <w:sz w:val="24"/>
                      <w:szCs w:val="24"/>
                    </w:rPr>
                  </w:pPr>
                </w:p>
              </w:tc>
            </w:tr>
          </w:tbl>
          <w:p w14:paraId="6C7D355D" w14:textId="77777777" w:rsidR="00E1689D" w:rsidRDefault="00E1689D">
            <w:pPr>
              <w:rPr>
                <w:color w:val="000000"/>
                <w:sz w:val="27"/>
                <w:szCs w:val="27"/>
              </w:rPr>
            </w:pPr>
          </w:p>
        </w:tc>
      </w:tr>
    </w:tbl>
    <w:p w14:paraId="11495CE0" w14:textId="77777777" w:rsidR="00E1689D" w:rsidRPr="00E1689D" w:rsidRDefault="00E1689D" w:rsidP="00E1689D">
      <w:pPr>
        <w:spacing w:line="360" w:lineRule="auto"/>
        <w:jc w:val="center"/>
        <w:rPr>
          <w:rFonts w:ascii="Merriweather" w:hAnsi="Merriweather"/>
          <w:color w:val="000000"/>
          <w:sz w:val="18"/>
          <w:szCs w:val="18"/>
          <w:shd w:val="clear" w:color="auto" w:fill="FFFFFF"/>
        </w:rPr>
      </w:pPr>
    </w:p>
    <w:sectPr w:rsidR="00E1689D" w:rsidRPr="00E16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erriweather">
    <w:altName w:val="Merriweather"/>
    <w:charset w:val="00"/>
    <w:family w:val="auto"/>
    <w:pitch w:val="variable"/>
    <w:sig w:usb0="20000207" w:usb1="00000002"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50902"/>
    <w:multiLevelType w:val="hybridMultilevel"/>
    <w:tmpl w:val="A210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F3A48"/>
    <w:multiLevelType w:val="hybridMultilevel"/>
    <w:tmpl w:val="1C86A0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679B8"/>
    <w:multiLevelType w:val="hybridMultilevel"/>
    <w:tmpl w:val="C0C0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574F87"/>
    <w:multiLevelType w:val="hybridMultilevel"/>
    <w:tmpl w:val="8996D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6A79AC"/>
    <w:multiLevelType w:val="multilevel"/>
    <w:tmpl w:val="0D9E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4E078D"/>
    <w:multiLevelType w:val="multilevel"/>
    <w:tmpl w:val="A9D0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358"/>
    <w:rsid w:val="00040A57"/>
    <w:rsid w:val="00047B23"/>
    <w:rsid w:val="00082B28"/>
    <w:rsid w:val="00091D07"/>
    <w:rsid w:val="00096925"/>
    <w:rsid w:val="001651F0"/>
    <w:rsid w:val="0017697C"/>
    <w:rsid w:val="00191BE1"/>
    <w:rsid w:val="001E0C5B"/>
    <w:rsid w:val="001F2230"/>
    <w:rsid w:val="00217D89"/>
    <w:rsid w:val="002302C8"/>
    <w:rsid w:val="00264932"/>
    <w:rsid w:val="00295EDF"/>
    <w:rsid w:val="002C6A4E"/>
    <w:rsid w:val="00393E5C"/>
    <w:rsid w:val="003B082E"/>
    <w:rsid w:val="003B3E69"/>
    <w:rsid w:val="003D27F1"/>
    <w:rsid w:val="00422D63"/>
    <w:rsid w:val="00452EB7"/>
    <w:rsid w:val="00475B80"/>
    <w:rsid w:val="004C59B2"/>
    <w:rsid w:val="004F32F6"/>
    <w:rsid w:val="00514554"/>
    <w:rsid w:val="005202CF"/>
    <w:rsid w:val="00521A91"/>
    <w:rsid w:val="00556AC6"/>
    <w:rsid w:val="0056364E"/>
    <w:rsid w:val="00564583"/>
    <w:rsid w:val="005C3E85"/>
    <w:rsid w:val="005C5AA4"/>
    <w:rsid w:val="005C5DE8"/>
    <w:rsid w:val="005E0E54"/>
    <w:rsid w:val="00656165"/>
    <w:rsid w:val="00660516"/>
    <w:rsid w:val="00682F61"/>
    <w:rsid w:val="006B4ADC"/>
    <w:rsid w:val="007123E9"/>
    <w:rsid w:val="00731A16"/>
    <w:rsid w:val="007C4AB2"/>
    <w:rsid w:val="007E3D2E"/>
    <w:rsid w:val="007F32F2"/>
    <w:rsid w:val="00821657"/>
    <w:rsid w:val="00823AFD"/>
    <w:rsid w:val="00861E1D"/>
    <w:rsid w:val="00865BA9"/>
    <w:rsid w:val="008B7547"/>
    <w:rsid w:val="008D334D"/>
    <w:rsid w:val="00927EE4"/>
    <w:rsid w:val="009369AB"/>
    <w:rsid w:val="00941170"/>
    <w:rsid w:val="009426D2"/>
    <w:rsid w:val="00947E5A"/>
    <w:rsid w:val="00961A8F"/>
    <w:rsid w:val="00986FFF"/>
    <w:rsid w:val="00987D21"/>
    <w:rsid w:val="009D4E31"/>
    <w:rsid w:val="009E3284"/>
    <w:rsid w:val="00A10A00"/>
    <w:rsid w:val="00A21412"/>
    <w:rsid w:val="00A63DDC"/>
    <w:rsid w:val="00AB443E"/>
    <w:rsid w:val="00AD2F9D"/>
    <w:rsid w:val="00AD51EF"/>
    <w:rsid w:val="00AE3F31"/>
    <w:rsid w:val="00B7324C"/>
    <w:rsid w:val="00B74567"/>
    <w:rsid w:val="00B80FB7"/>
    <w:rsid w:val="00B82793"/>
    <w:rsid w:val="00B87F75"/>
    <w:rsid w:val="00B91358"/>
    <w:rsid w:val="00C01DB9"/>
    <w:rsid w:val="00C52A47"/>
    <w:rsid w:val="00C61461"/>
    <w:rsid w:val="00C836FF"/>
    <w:rsid w:val="00C936F8"/>
    <w:rsid w:val="00CC5460"/>
    <w:rsid w:val="00D0523E"/>
    <w:rsid w:val="00D15E89"/>
    <w:rsid w:val="00D2049B"/>
    <w:rsid w:val="00D22342"/>
    <w:rsid w:val="00D4418F"/>
    <w:rsid w:val="00D5361F"/>
    <w:rsid w:val="00D76DF3"/>
    <w:rsid w:val="00DC20AC"/>
    <w:rsid w:val="00DC7951"/>
    <w:rsid w:val="00DE2935"/>
    <w:rsid w:val="00DE5DDC"/>
    <w:rsid w:val="00E1689D"/>
    <w:rsid w:val="00E57F22"/>
    <w:rsid w:val="00EA3075"/>
    <w:rsid w:val="00EB459D"/>
    <w:rsid w:val="00ED1355"/>
    <w:rsid w:val="00ED4037"/>
    <w:rsid w:val="00ED608E"/>
    <w:rsid w:val="00EE6B37"/>
    <w:rsid w:val="00EF7F8B"/>
    <w:rsid w:val="00F10151"/>
    <w:rsid w:val="00F42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F2F4C"/>
  <w15:chartTrackingRefBased/>
  <w15:docId w15:val="{D46B32D1-2A6A-445B-8156-9A95339D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7547"/>
    <w:rPr>
      <w:color w:val="0563C1" w:themeColor="hyperlink"/>
      <w:u w:val="single"/>
    </w:rPr>
  </w:style>
  <w:style w:type="paragraph" w:styleId="ListParagraph">
    <w:name w:val="List Paragraph"/>
    <w:basedOn w:val="Normal"/>
    <w:uiPriority w:val="34"/>
    <w:qFormat/>
    <w:rsid w:val="009426D2"/>
    <w:pPr>
      <w:ind w:left="720"/>
      <w:contextualSpacing/>
    </w:pPr>
    <w:rPr>
      <w:rFonts w:eastAsiaTheme="minorEastAsia"/>
    </w:rPr>
  </w:style>
  <w:style w:type="character" w:styleId="UnresolvedMention">
    <w:name w:val="Unresolved Mention"/>
    <w:basedOn w:val="DefaultParagraphFont"/>
    <w:uiPriority w:val="99"/>
    <w:semiHidden/>
    <w:unhideWhenUsed/>
    <w:rsid w:val="00865BA9"/>
    <w:rPr>
      <w:color w:val="605E5C"/>
      <w:shd w:val="clear" w:color="auto" w:fill="E1DFDD"/>
    </w:rPr>
  </w:style>
  <w:style w:type="character" w:styleId="CommentReference">
    <w:name w:val="annotation reference"/>
    <w:basedOn w:val="DefaultParagraphFont"/>
    <w:uiPriority w:val="99"/>
    <w:semiHidden/>
    <w:unhideWhenUsed/>
    <w:rsid w:val="00217D89"/>
    <w:rPr>
      <w:sz w:val="16"/>
      <w:szCs w:val="16"/>
    </w:rPr>
  </w:style>
  <w:style w:type="paragraph" w:styleId="CommentText">
    <w:name w:val="annotation text"/>
    <w:basedOn w:val="Normal"/>
    <w:link w:val="CommentTextChar"/>
    <w:uiPriority w:val="99"/>
    <w:semiHidden/>
    <w:unhideWhenUsed/>
    <w:rsid w:val="00217D89"/>
    <w:pPr>
      <w:spacing w:line="240" w:lineRule="auto"/>
    </w:pPr>
    <w:rPr>
      <w:sz w:val="20"/>
      <w:szCs w:val="20"/>
    </w:rPr>
  </w:style>
  <w:style w:type="character" w:customStyle="1" w:styleId="CommentTextChar">
    <w:name w:val="Comment Text Char"/>
    <w:basedOn w:val="DefaultParagraphFont"/>
    <w:link w:val="CommentText"/>
    <w:uiPriority w:val="99"/>
    <w:semiHidden/>
    <w:rsid w:val="00217D89"/>
    <w:rPr>
      <w:sz w:val="20"/>
      <w:szCs w:val="20"/>
    </w:rPr>
  </w:style>
  <w:style w:type="paragraph" w:styleId="CommentSubject">
    <w:name w:val="annotation subject"/>
    <w:basedOn w:val="CommentText"/>
    <w:next w:val="CommentText"/>
    <w:link w:val="CommentSubjectChar"/>
    <w:uiPriority w:val="99"/>
    <w:semiHidden/>
    <w:unhideWhenUsed/>
    <w:rsid w:val="00217D89"/>
    <w:rPr>
      <w:b/>
      <w:bCs/>
    </w:rPr>
  </w:style>
  <w:style w:type="character" w:customStyle="1" w:styleId="CommentSubjectChar">
    <w:name w:val="Comment Subject Char"/>
    <w:basedOn w:val="CommentTextChar"/>
    <w:link w:val="CommentSubject"/>
    <w:uiPriority w:val="99"/>
    <w:semiHidden/>
    <w:rsid w:val="00217D89"/>
    <w:rPr>
      <w:b/>
      <w:bCs/>
      <w:sz w:val="20"/>
      <w:szCs w:val="20"/>
    </w:rPr>
  </w:style>
  <w:style w:type="table" w:styleId="TableGrid">
    <w:name w:val="Table Grid"/>
    <w:basedOn w:val="TableNormal"/>
    <w:uiPriority w:val="39"/>
    <w:rsid w:val="00217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651F0"/>
    <w:rPr>
      <w:color w:val="954F72" w:themeColor="followedHyperlink"/>
      <w:u w:val="single"/>
    </w:rPr>
  </w:style>
  <w:style w:type="paragraph" w:styleId="NormalWeb">
    <w:name w:val="Normal (Web)"/>
    <w:basedOn w:val="Normal"/>
    <w:uiPriority w:val="99"/>
    <w:unhideWhenUsed/>
    <w:rsid w:val="00861E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1E1D"/>
    <w:rPr>
      <w:b/>
      <w:bCs/>
    </w:rPr>
  </w:style>
  <w:style w:type="paragraph" w:customStyle="1" w:styleId="last-child">
    <w:name w:val="last-child"/>
    <w:basedOn w:val="Normal"/>
    <w:rsid w:val="00861E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68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124414">
      <w:bodyDiv w:val="1"/>
      <w:marLeft w:val="0"/>
      <w:marRight w:val="0"/>
      <w:marTop w:val="0"/>
      <w:marBottom w:val="0"/>
      <w:divBdr>
        <w:top w:val="none" w:sz="0" w:space="0" w:color="auto"/>
        <w:left w:val="none" w:sz="0" w:space="0" w:color="auto"/>
        <w:bottom w:val="none" w:sz="0" w:space="0" w:color="auto"/>
        <w:right w:val="none" w:sz="0" w:space="0" w:color="auto"/>
      </w:divBdr>
    </w:div>
    <w:div w:id="667098391">
      <w:bodyDiv w:val="1"/>
      <w:marLeft w:val="0"/>
      <w:marRight w:val="0"/>
      <w:marTop w:val="0"/>
      <w:marBottom w:val="0"/>
      <w:divBdr>
        <w:top w:val="none" w:sz="0" w:space="0" w:color="auto"/>
        <w:left w:val="none" w:sz="0" w:space="0" w:color="auto"/>
        <w:bottom w:val="none" w:sz="0" w:space="0" w:color="auto"/>
        <w:right w:val="none" w:sz="0" w:space="0" w:color="auto"/>
      </w:divBdr>
    </w:div>
    <w:div w:id="1077900378">
      <w:bodyDiv w:val="1"/>
      <w:marLeft w:val="0"/>
      <w:marRight w:val="0"/>
      <w:marTop w:val="0"/>
      <w:marBottom w:val="0"/>
      <w:divBdr>
        <w:top w:val="none" w:sz="0" w:space="0" w:color="auto"/>
        <w:left w:val="none" w:sz="0" w:space="0" w:color="auto"/>
        <w:bottom w:val="none" w:sz="0" w:space="0" w:color="auto"/>
        <w:right w:val="none" w:sz="0" w:space="0" w:color="auto"/>
      </w:divBdr>
    </w:div>
    <w:div w:id="1092891792">
      <w:bodyDiv w:val="1"/>
      <w:marLeft w:val="0"/>
      <w:marRight w:val="0"/>
      <w:marTop w:val="0"/>
      <w:marBottom w:val="0"/>
      <w:divBdr>
        <w:top w:val="none" w:sz="0" w:space="0" w:color="auto"/>
        <w:left w:val="none" w:sz="0" w:space="0" w:color="auto"/>
        <w:bottom w:val="none" w:sz="0" w:space="0" w:color="auto"/>
        <w:right w:val="none" w:sz="0" w:space="0" w:color="auto"/>
      </w:divBdr>
      <w:divsChild>
        <w:div w:id="812793687">
          <w:marLeft w:val="0"/>
          <w:marRight w:val="0"/>
          <w:marTop w:val="0"/>
          <w:marBottom w:val="0"/>
          <w:divBdr>
            <w:top w:val="none" w:sz="0" w:space="0" w:color="auto"/>
            <w:left w:val="none" w:sz="0" w:space="0" w:color="auto"/>
            <w:bottom w:val="none" w:sz="0" w:space="0" w:color="auto"/>
            <w:right w:val="none" w:sz="0" w:space="0" w:color="auto"/>
          </w:divBdr>
        </w:div>
      </w:divsChild>
    </w:div>
    <w:div w:id="1448811008">
      <w:bodyDiv w:val="1"/>
      <w:marLeft w:val="0"/>
      <w:marRight w:val="0"/>
      <w:marTop w:val="0"/>
      <w:marBottom w:val="0"/>
      <w:divBdr>
        <w:top w:val="none" w:sz="0" w:space="0" w:color="auto"/>
        <w:left w:val="none" w:sz="0" w:space="0" w:color="auto"/>
        <w:bottom w:val="none" w:sz="0" w:space="0" w:color="auto"/>
        <w:right w:val="none" w:sz="0" w:space="0" w:color="auto"/>
      </w:divBdr>
      <w:divsChild>
        <w:div w:id="1329598785">
          <w:marLeft w:val="0"/>
          <w:marRight w:val="0"/>
          <w:marTop w:val="0"/>
          <w:marBottom w:val="0"/>
          <w:divBdr>
            <w:top w:val="none" w:sz="0" w:space="0" w:color="auto"/>
            <w:left w:val="none" w:sz="0" w:space="0" w:color="auto"/>
            <w:bottom w:val="none" w:sz="0" w:space="0" w:color="auto"/>
            <w:right w:val="none" w:sz="0" w:space="0" w:color="auto"/>
          </w:divBdr>
        </w:div>
      </w:divsChild>
    </w:div>
    <w:div w:id="1496336136">
      <w:bodyDiv w:val="1"/>
      <w:marLeft w:val="0"/>
      <w:marRight w:val="0"/>
      <w:marTop w:val="0"/>
      <w:marBottom w:val="0"/>
      <w:divBdr>
        <w:top w:val="none" w:sz="0" w:space="0" w:color="auto"/>
        <w:left w:val="none" w:sz="0" w:space="0" w:color="auto"/>
        <w:bottom w:val="none" w:sz="0" w:space="0" w:color="auto"/>
        <w:right w:val="none" w:sz="0" w:space="0" w:color="auto"/>
      </w:divBdr>
    </w:div>
    <w:div w:id="189454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forms-pubs/about-publication-926" TargetMode="External"/><Relationship Id="rId13" Type="http://schemas.openxmlformats.org/officeDocument/2006/relationships/hyperlink" Target="https://www.irs.gov/newsroom/understanding-employee-vs-contractor-designation" TargetMode="External"/><Relationship Id="rId18" Type="http://schemas.openxmlformats.org/officeDocument/2006/relationships/hyperlink" Target="https://bga-cpas.us21.list-manage.com/unsubscribe?u=52d45ba02ef358ae7f967ffc3&amp;id=6721a2a339&amp;e=%5bUNIQID%5d&amp;c=665514c73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eth@bga-cpas.com?subject=SmartVault%20Link&amp;body=" TargetMode="External"/><Relationship Id="rId12" Type="http://schemas.openxmlformats.org/officeDocument/2006/relationships/hyperlink" Target="https://www.irs.gov/pub/irs-pdf/fw9.pdf" TargetMode="External"/><Relationship Id="rId17" Type="http://schemas.openxmlformats.org/officeDocument/2006/relationships/hyperlink" Target="https://bga-cpas.us21.list-manage.com/profile?u=52d45ba02ef358ae7f967ffc3&amp;id=6721a2a339&amp;e=%5bUNIQID%5d&amp;c=665514c735"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irs.gov/pub/irs-pdf/fw9.pdf" TargetMode="External"/><Relationship Id="rId5" Type="http://schemas.openxmlformats.org/officeDocument/2006/relationships/image" Target="media/image1.png"/><Relationship Id="rId15" Type="http://schemas.openxmlformats.org/officeDocument/2006/relationships/hyperlink" Target="https://www.bga-cpas.com/" TargetMode="External"/><Relationship Id="rId10" Type="http://schemas.openxmlformats.org/officeDocument/2006/relationships/hyperlink" Target="https://www.irs.gov/forms-pubs/about-form-1099-nec"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irs.gov/forms-pubs/about-form-1099-misc" TargetMode="External"/><Relationship Id="rId14" Type="http://schemas.openxmlformats.org/officeDocument/2006/relationships/hyperlink" Target="mailto:beth@bga-cpas.com?subject=1099%27s%20and%20W-2s&amp;bo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Cloudnine Realtime</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darcie@globaltaxconsult.com</dc:creator>
  <cp:keywords/>
  <dc:description/>
  <cp:lastModifiedBy>Carri-Ann Isbell</cp:lastModifiedBy>
  <cp:revision>3</cp:revision>
  <dcterms:created xsi:type="dcterms:W3CDTF">2023-12-19T19:01:00Z</dcterms:created>
  <dcterms:modified xsi:type="dcterms:W3CDTF">2023-12-19T19:03:00Z</dcterms:modified>
</cp:coreProperties>
</file>